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2FD3" w14:textId="4D928496" w:rsidR="00B8532F" w:rsidRPr="00B8532F" w:rsidRDefault="005C7B6A" w:rsidP="00B8532F">
      <w:pPr>
        <w:widowControl/>
        <w:jc w:val="center"/>
        <w:rPr>
          <w:rFonts w:asciiTheme="minorEastAsia" w:hAnsiTheme="minorEastAsia"/>
          <w:sz w:val="24"/>
          <w:szCs w:val="24"/>
        </w:rPr>
      </w:pPr>
      <w:r w:rsidRPr="007F1052">
        <w:rPr>
          <w:rFonts w:ascii="ＭＳ ゴシック" w:hAnsi="ＭＳ ゴシック"/>
          <w:noProof/>
        </w:rPr>
        <mc:AlternateContent>
          <mc:Choice Requires="wps">
            <w:drawing>
              <wp:anchor distT="0" distB="0" distL="114300" distR="114300" simplePos="0" relativeHeight="251659264" behindDoc="0" locked="0" layoutInCell="1" allowOverlap="1" wp14:anchorId="132E2DFD" wp14:editId="3C0DE922">
                <wp:simplePos x="0" y="0"/>
                <wp:positionH relativeFrom="column">
                  <wp:posOffset>5645889</wp:posOffset>
                </wp:positionH>
                <wp:positionV relativeFrom="paragraph">
                  <wp:posOffset>-96328</wp:posOffset>
                </wp:positionV>
                <wp:extent cx="1278467" cy="431800"/>
                <wp:effectExtent l="0" t="0" r="17780" b="25400"/>
                <wp:wrapNone/>
                <wp:docPr id="3" name="正方形/長方形 2">
                  <a:extLst xmlns:a="http://schemas.openxmlformats.org/drawingml/2006/main">
                    <a:ext uri="{FF2B5EF4-FFF2-40B4-BE49-F238E27FC236}">
                      <a16:creationId xmlns:a16="http://schemas.microsoft.com/office/drawing/2014/main" id="{38CAC73D-5C30-96E7-E697-9B0F3AC0DE02}"/>
                    </a:ext>
                  </a:extLst>
                </wp:docPr>
                <wp:cNvGraphicFramePr/>
                <a:graphic xmlns:a="http://schemas.openxmlformats.org/drawingml/2006/main">
                  <a:graphicData uri="http://schemas.microsoft.com/office/word/2010/wordprocessingShape">
                    <wps:wsp>
                      <wps:cNvSpPr/>
                      <wps:spPr bwMode="auto">
                        <a:xfrm>
                          <a:off x="0" y="0"/>
                          <a:ext cx="1278467" cy="431800"/>
                        </a:xfrm>
                        <a:prstGeom prst="rect">
                          <a:avLst/>
                        </a:prstGeom>
                        <a:noFill/>
                        <a:ln w="9525">
                          <a:solidFill>
                            <a:schemeClr val="tx1"/>
                          </a:solidFill>
                          <a:miter lim="800000"/>
                          <a:headEnd/>
                          <a:tailEnd/>
                        </a:ln>
                        <a:effectLst/>
                      </wps:spPr>
                      <wps:txbx>
                        <w:txbxContent>
                          <w:p w14:paraId="1AF29491" w14:textId="21BAE329" w:rsidR="005C7B6A" w:rsidRDefault="005C7B6A" w:rsidP="005C7B6A">
                            <w:pPr>
                              <w:jc w:val="center"/>
                              <w:rPr>
                                <w:rFonts w:ascii="Meiryo UI" w:eastAsia="Meiryo UI" w:hAnsi="Meiryo UI"/>
                                <w:color w:val="000000" w:themeColor="text1"/>
                                <w:kern w:val="24"/>
                                <w:sz w:val="36"/>
                                <w:szCs w:val="36"/>
                              </w:rPr>
                            </w:pPr>
                            <w:r>
                              <w:rPr>
                                <w:rFonts w:ascii="Meiryo UI" w:eastAsia="Meiryo UI" w:hAnsi="Meiryo UI" w:hint="eastAsia"/>
                                <w:color w:val="000000" w:themeColor="text1"/>
                                <w:kern w:val="24"/>
                                <w:sz w:val="36"/>
                                <w:szCs w:val="36"/>
                              </w:rPr>
                              <w:t>資料２</w:t>
                            </w:r>
                          </w:p>
                        </w:txbxContent>
                      </wps:txbx>
                      <wps:bodyPr wrap="none" rtlCol="0" anchor="ctr"/>
                    </wps:wsp>
                  </a:graphicData>
                </a:graphic>
              </wp:anchor>
            </w:drawing>
          </mc:Choice>
          <mc:Fallback>
            <w:pict>
              <v:rect w14:anchorId="132E2DFD" id="正方形/長方形 2" o:spid="_x0000_s1026" style="position:absolute;left:0;text-align:left;margin-left:444.55pt;margin-top:-7.6pt;width:100.65pt;height:3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" filled="f" strokecolor="black [3213]">
                <v:textbox>
                  <w:txbxContent>
                    <w:p w14:paraId="1AF29491" w14:textId="21BAE329" w:rsidR="005C7B6A" w:rsidRDefault="005C7B6A" w:rsidP="005C7B6A">
                      <w:pPr>
                        <w:jc w:val="center"/>
                        <w:rPr>
                          <w:rFonts w:ascii="Meiryo UI" w:eastAsia="Meiryo UI" w:hAnsi="Meiryo UI"/>
                          <w:color w:val="000000" w:themeColor="text1"/>
                          <w:kern w:val="24"/>
                          <w:sz w:val="36"/>
                          <w:szCs w:val="36"/>
                        </w:rPr>
                      </w:pPr>
                      <w:r>
                        <w:rPr>
                          <w:rFonts w:ascii="Meiryo UI" w:eastAsia="Meiryo UI" w:hAnsi="Meiryo UI" w:hint="eastAsia"/>
                          <w:color w:val="000000" w:themeColor="text1"/>
                          <w:kern w:val="24"/>
                          <w:sz w:val="36"/>
                          <w:szCs w:val="36"/>
                        </w:rPr>
                        <w:t>資料</w:t>
                      </w:r>
                      <w:r>
                        <w:rPr>
                          <w:rFonts w:ascii="Meiryo UI" w:eastAsia="Meiryo UI" w:hAnsi="Meiryo UI" w:hint="eastAsia"/>
                          <w:color w:val="000000" w:themeColor="text1"/>
                          <w:kern w:val="24"/>
                          <w:sz w:val="36"/>
                          <w:szCs w:val="36"/>
                        </w:rPr>
                        <w:t>２</w:t>
                      </w:r>
                    </w:p>
                  </w:txbxContent>
                </v:textbox>
              </v:rect>
            </w:pict>
          </mc:Fallback>
        </mc:AlternateContent>
      </w:r>
      <w:r w:rsidR="006B272B">
        <w:rPr>
          <w:rFonts w:asciiTheme="minorEastAsia" w:hAnsiTheme="minorEastAsia" w:hint="eastAsia"/>
          <w:sz w:val="24"/>
          <w:szCs w:val="24"/>
        </w:rPr>
        <w:t>次世代型地熱</w:t>
      </w:r>
      <w:r w:rsidR="00A70453">
        <w:rPr>
          <w:rFonts w:asciiTheme="minorEastAsia" w:hAnsiTheme="minorEastAsia" w:hint="eastAsia"/>
          <w:sz w:val="24"/>
          <w:szCs w:val="24"/>
        </w:rPr>
        <w:t>推</w:t>
      </w:r>
      <w:r w:rsidR="006B272B">
        <w:rPr>
          <w:rFonts w:asciiTheme="minorEastAsia" w:hAnsiTheme="minorEastAsia" w:hint="eastAsia"/>
          <w:sz w:val="24"/>
          <w:szCs w:val="24"/>
        </w:rPr>
        <w:t>進官民協議会</w:t>
      </w:r>
    </w:p>
    <w:p w14:paraId="7398814C" w14:textId="5DF7023E" w:rsidR="00B8532F" w:rsidRPr="00B8532F" w:rsidRDefault="00B8532F" w:rsidP="00B8532F">
      <w:pPr>
        <w:widowControl/>
        <w:jc w:val="center"/>
        <w:rPr>
          <w:rFonts w:asciiTheme="minorEastAsia" w:hAnsiTheme="minorEastAsia"/>
          <w:sz w:val="24"/>
          <w:szCs w:val="24"/>
        </w:rPr>
      </w:pPr>
      <w:r w:rsidRPr="00B8532F">
        <w:rPr>
          <w:rFonts w:asciiTheme="minorEastAsia" w:hAnsiTheme="minorEastAsia" w:hint="eastAsia"/>
          <w:sz w:val="24"/>
          <w:szCs w:val="24"/>
        </w:rPr>
        <w:t>設置要綱</w:t>
      </w:r>
    </w:p>
    <w:p w14:paraId="3CA54409" w14:textId="79EBE3E8" w:rsidR="00B8532F" w:rsidRPr="00B8532F"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w:t>
      </w:r>
      <w:r w:rsidR="00E902C5">
        <w:rPr>
          <w:rFonts w:asciiTheme="minorEastAsia" w:hAnsiTheme="minorEastAsia" w:hint="eastAsia"/>
          <w:sz w:val="24"/>
          <w:szCs w:val="24"/>
        </w:rPr>
        <w:t>目的</w:t>
      </w:r>
      <w:r w:rsidRPr="00B8532F">
        <w:rPr>
          <w:rFonts w:asciiTheme="minorEastAsia" w:hAnsiTheme="minorEastAsia" w:hint="eastAsia"/>
          <w:sz w:val="24"/>
          <w:szCs w:val="24"/>
        </w:rPr>
        <w:t>）</w:t>
      </w:r>
    </w:p>
    <w:p w14:paraId="6578A1BF" w14:textId="67E18BA7" w:rsidR="006719E3"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第１条</w:t>
      </w:r>
      <w:r w:rsidR="006719E3">
        <w:rPr>
          <w:rFonts w:asciiTheme="minorEastAsia" w:hAnsiTheme="minorEastAsia" w:hint="eastAsia"/>
          <w:sz w:val="24"/>
          <w:szCs w:val="24"/>
        </w:rPr>
        <w:t xml:space="preserve">　</w:t>
      </w:r>
    </w:p>
    <w:p w14:paraId="36729BB1" w14:textId="66414409" w:rsidR="00B8532F" w:rsidRPr="008C2C87" w:rsidRDefault="00252A38" w:rsidP="008C2C87">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本協議会は、</w:t>
      </w:r>
      <w:r w:rsidR="001F36CD" w:rsidRPr="008C2C87">
        <w:rPr>
          <w:rFonts w:asciiTheme="minorEastAsia" w:hAnsiTheme="minorEastAsia" w:hint="eastAsia"/>
          <w:sz w:val="24"/>
          <w:szCs w:val="24"/>
        </w:rPr>
        <w:t>次世代型地熱技術の2030年代の早期の日本国内での実用化</w:t>
      </w:r>
      <w:r w:rsidR="00DC4116" w:rsidRPr="008C2C87">
        <w:rPr>
          <w:rFonts w:asciiTheme="minorEastAsia" w:hAnsiTheme="minorEastAsia" w:hint="eastAsia"/>
          <w:sz w:val="24"/>
          <w:szCs w:val="24"/>
        </w:rPr>
        <w:t>および産業競争力強化</w:t>
      </w:r>
      <w:r w:rsidR="001F36CD" w:rsidRPr="008C2C87">
        <w:rPr>
          <w:rFonts w:asciiTheme="minorEastAsia" w:hAnsiTheme="minorEastAsia" w:hint="eastAsia"/>
          <w:sz w:val="24"/>
          <w:szCs w:val="24"/>
        </w:rPr>
        <w:t>、その後の2040年・2050年の国内外での普及等のため、各技術における課題・技術開発要素の特定・開発スケジュール・実証スケジュール等について具体的な目標・計画等を官民が一体となって議論・策定</w:t>
      </w:r>
      <w:r w:rsidR="004318C0" w:rsidRPr="008C2C87">
        <w:rPr>
          <w:rFonts w:asciiTheme="minorEastAsia" w:hAnsiTheme="minorEastAsia" w:hint="eastAsia"/>
          <w:sz w:val="24"/>
          <w:szCs w:val="24"/>
        </w:rPr>
        <w:t>し、</w:t>
      </w:r>
      <w:r w:rsidRPr="008C2C87">
        <w:rPr>
          <w:rFonts w:asciiTheme="minorEastAsia" w:hAnsiTheme="minorEastAsia" w:hint="eastAsia"/>
          <w:sz w:val="24"/>
          <w:szCs w:val="24"/>
        </w:rPr>
        <w:t>次世代型地熱ポテンシャルにおいて国内の開発可能な資源量の増加に寄与す</w:t>
      </w:r>
      <w:r w:rsidR="00314C0E" w:rsidRPr="008C2C87">
        <w:rPr>
          <w:rFonts w:asciiTheme="minorEastAsia" w:hAnsiTheme="minorEastAsia" w:hint="eastAsia"/>
          <w:sz w:val="24"/>
          <w:szCs w:val="24"/>
        </w:rPr>
        <w:t>ることを目的とする</w:t>
      </w:r>
      <w:r w:rsidR="001F36CD" w:rsidRPr="008C2C87">
        <w:rPr>
          <w:rFonts w:asciiTheme="minorEastAsia" w:hAnsiTheme="minorEastAsia" w:hint="eastAsia"/>
          <w:sz w:val="24"/>
          <w:szCs w:val="24"/>
        </w:rPr>
        <w:t>。</w:t>
      </w:r>
    </w:p>
    <w:p w14:paraId="329696D1" w14:textId="051FCC56" w:rsidR="006F0721" w:rsidRPr="008C2C87" w:rsidRDefault="006F0721" w:rsidP="001F36CD">
      <w:pPr>
        <w:widowControl/>
        <w:jc w:val="left"/>
        <w:rPr>
          <w:rFonts w:asciiTheme="minorEastAsia" w:hAnsiTheme="minorEastAsia"/>
          <w:sz w:val="24"/>
          <w:szCs w:val="24"/>
        </w:rPr>
      </w:pPr>
    </w:p>
    <w:p w14:paraId="02A46840" w14:textId="0BBF865E"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（検討事項）</w:t>
      </w:r>
    </w:p>
    <w:p w14:paraId="28F0886D" w14:textId="1B9DF1BC"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第２条</w:t>
      </w:r>
    </w:p>
    <w:p w14:paraId="1626B766" w14:textId="41D9E035"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 xml:space="preserve">　本協議会における検討事項は次のとおりとする。</w:t>
      </w:r>
    </w:p>
    <w:p w14:paraId="38037B35" w14:textId="6B74E984" w:rsidR="00390507" w:rsidRPr="008C2C87" w:rsidRDefault="00390507" w:rsidP="001F36CD">
      <w:pPr>
        <w:widowControl/>
        <w:jc w:val="left"/>
        <w:rPr>
          <w:rFonts w:asciiTheme="minorEastAsia" w:hAnsiTheme="minorEastAsia"/>
          <w:sz w:val="24"/>
          <w:szCs w:val="24"/>
        </w:rPr>
      </w:pPr>
      <w:r w:rsidRPr="008C2C87">
        <w:rPr>
          <w:rFonts w:asciiTheme="minorEastAsia" w:hAnsiTheme="minorEastAsia" w:hint="eastAsia"/>
          <w:sz w:val="24"/>
          <w:szCs w:val="24"/>
        </w:rPr>
        <w:t>（１）次世代型地熱発電の将来的な導入イメージの検討</w:t>
      </w:r>
    </w:p>
    <w:p w14:paraId="085B5283" w14:textId="4150EA3A"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w:t>
      </w:r>
      <w:r w:rsidR="00390507" w:rsidRPr="008C2C87">
        <w:rPr>
          <w:rFonts w:asciiTheme="minorEastAsia" w:hAnsiTheme="minorEastAsia" w:hint="eastAsia"/>
          <w:sz w:val="24"/>
          <w:szCs w:val="24"/>
        </w:rPr>
        <w:t>２</w:t>
      </w:r>
      <w:r w:rsidRPr="008C2C87">
        <w:rPr>
          <w:rFonts w:asciiTheme="minorEastAsia" w:hAnsiTheme="minorEastAsia" w:hint="eastAsia"/>
          <w:sz w:val="24"/>
          <w:szCs w:val="24"/>
        </w:rPr>
        <w:t>）次世代型地熱発電の実用化</w:t>
      </w:r>
      <w:r w:rsidR="00390507" w:rsidRPr="008C2C87">
        <w:rPr>
          <w:rFonts w:asciiTheme="minorEastAsia" w:hAnsiTheme="minorEastAsia" w:hint="eastAsia"/>
          <w:sz w:val="24"/>
          <w:szCs w:val="24"/>
        </w:rPr>
        <w:t>等</w:t>
      </w:r>
      <w:r w:rsidRPr="008C2C87">
        <w:rPr>
          <w:rFonts w:asciiTheme="minorEastAsia" w:hAnsiTheme="minorEastAsia" w:hint="eastAsia"/>
          <w:sz w:val="24"/>
          <w:szCs w:val="24"/>
        </w:rPr>
        <w:t>に向けた技術的な課題・開発要素の特定</w:t>
      </w:r>
    </w:p>
    <w:p w14:paraId="4F79BFF5" w14:textId="3183CBB6"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w:t>
      </w:r>
      <w:r w:rsidR="00390507" w:rsidRPr="008C2C87">
        <w:rPr>
          <w:rFonts w:asciiTheme="minorEastAsia" w:hAnsiTheme="minorEastAsia" w:hint="eastAsia"/>
          <w:sz w:val="24"/>
          <w:szCs w:val="24"/>
        </w:rPr>
        <w:t>３</w:t>
      </w:r>
      <w:r w:rsidRPr="008C2C87">
        <w:rPr>
          <w:rFonts w:asciiTheme="minorEastAsia" w:hAnsiTheme="minorEastAsia" w:hint="eastAsia"/>
          <w:sz w:val="24"/>
          <w:szCs w:val="24"/>
        </w:rPr>
        <w:t>）次世代型地熱発電の実用化</w:t>
      </w:r>
      <w:r w:rsidR="00390507" w:rsidRPr="008C2C87">
        <w:rPr>
          <w:rFonts w:asciiTheme="minorEastAsia" w:hAnsiTheme="minorEastAsia" w:hint="eastAsia"/>
          <w:sz w:val="24"/>
          <w:szCs w:val="24"/>
        </w:rPr>
        <w:t>等</w:t>
      </w:r>
      <w:r w:rsidRPr="008C2C87">
        <w:rPr>
          <w:rFonts w:asciiTheme="minorEastAsia" w:hAnsiTheme="minorEastAsia" w:hint="eastAsia"/>
          <w:sz w:val="24"/>
          <w:szCs w:val="24"/>
        </w:rPr>
        <w:t>に向けた技術開発スケジュール、実証スケジュール</w:t>
      </w:r>
    </w:p>
    <w:p w14:paraId="7D314105" w14:textId="77777777" w:rsidR="00D11860"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w:t>
      </w:r>
      <w:r w:rsidR="00390507" w:rsidRPr="008C2C87">
        <w:rPr>
          <w:rFonts w:asciiTheme="minorEastAsia" w:hAnsiTheme="minorEastAsia" w:hint="eastAsia"/>
          <w:sz w:val="24"/>
          <w:szCs w:val="24"/>
        </w:rPr>
        <w:t>４</w:t>
      </w:r>
      <w:r w:rsidRPr="008C2C87">
        <w:rPr>
          <w:rFonts w:asciiTheme="minorEastAsia" w:hAnsiTheme="minorEastAsia" w:hint="eastAsia"/>
          <w:sz w:val="24"/>
          <w:szCs w:val="24"/>
        </w:rPr>
        <w:t>）</w:t>
      </w:r>
      <w:r w:rsidR="00422B81" w:rsidRPr="008C2C87">
        <w:rPr>
          <w:rFonts w:asciiTheme="minorEastAsia" w:hAnsiTheme="minorEastAsia" w:hint="eastAsia"/>
          <w:sz w:val="24"/>
          <w:szCs w:val="24"/>
        </w:rPr>
        <w:t>（１）～（</w:t>
      </w:r>
      <w:r w:rsidR="00390507" w:rsidRPr="008C2C87">
        <w:rPr>
          <w:rFonts w:asciiTheme="minorEastAsia" w:hAnsiTheme="minorEastAsia" w:hint="eastAsia"/>
          <w:sz w:val="24"/>
          <w:szCs w:val="24"/>
        </w:rPr>
        <w:t>３</w:t>
      </w:r>
      <w:r w:rsidR="00422B81" w:rsidRPr="008C2C87">
        <w:rPr>
          <w:rFonts w:asciiTheme="minorEastAsia" w:hAnsiTheme="minorEastAsia" w:hint="eastAsia"/>
          <w:sz w:val="24"/>
          <w:szCs w:val="24"/>
        </w:rPr>
        <w:t>）</w:t>
      </w:r>
      <w:r w:rsidR="00D11860" w:rsidRPr="008C2C87">
        <w:rPr>
          <w:rFonts w:asciiTheme="minorEastAsia" w:hAnsiTheme="minorEastAsia" w:hint="eastAsia"/>
          <w:sz w:val="24"/>
          <w:szCs w:val="24"/>
        </w:rPr>
        <w:t>の実現を目指すために必要な手段や方法等を盛り込んだ、今後の次世代型地</w:t>
      </w:r>
    </w:p>
    <w:p w14:paraId="066CCDBA" w14:textId="76F3AC98" w:rsidR="00442028" w:rsidRPr="008C2C87" w:rsidRDefault="00D11860" w:rsidP="00D11860">
      <w:pPr>
        <w:widowControl/>
        <w:ind w:firstLineChars="300" w:firstLine="720"/>
        <w:jc w:val="left"/>
        <w:rPr>
          <w:rFonts w:asciiTheme="minorEastAsia" w:hAnsiTheme="minorEastAsia"/>
          <w:sz w:val="24"/>
          <w:szCs w:val="24"/>
        </w:rPr>
      </w:pPr>
      <w:r w:rsidRPr="008C2C87">
        <w:rPr>
          <w:rFonts w:asciiTheme="minorEastAsia" w:hAnsiTheme="minorEastAsia" w:hint="eastAsia"/>
          <w:sz w:val="24"/>
          <w:szCs w:val="24"/>
        </w:rPr>
        <w:t>熱発電の早期実用化等を目指すためのロードマップの策定</w:t>
      </w:r>
    </w:p>
    <w:p w14:paraId="4CD6F9ED" w14:textId="21599A3D" w:rsidR="00E63E53" w:rsidRPr="008C2C87" w:rsidRDefault="00E63E53" w:rsidP="008C2C87">
      <w:pPr>
        <w:widowControl/>
        <w:jc w:val="left"/>
        <w:rPr>
          <w:rFonts w:asciiTheme="minorEastAsia" w:hAnsiTheme="minorEastAsia"/>
          <w:sz w:val="24"/>
          <w:szCs w:val="24"/>
        </w:rPr>
      </w:pPr>
      <w:r w:rsidRPr="008C2C87">
        <w:rPr>
          <w:rFonts w:asciiTheme="minorEastAsia" w:hAnsiTheme="minorEastAsia" w:hint="eastAsia"/>
          <w:sz w:val="24"/>
          <w:szCs w:val="24"/>
        </w:rPr>
        <w:t>（５）</w:t>
      </w:r>
      <w:r w:rsidR="00B217ED" w:rsidRPr="008C2C87">
        <w:rPr>
          <w:rFonts w:asciiTheme="minorEastAsia" w:hAnsiTheme="minorEastAsia" w:hint="eastAsia"/>
          <w:sz w:val="24"/>
          <w:szCs w:val="24"/>
        </w:rPr>
        <w:t>その他、ロードマップ策定に向けて必要な要素の検討</w:t>
      </w:r>
    </w:p>
    <w:p w14:paraId="40787231" w14:textId="77777777" w:rsidR="00442028" w:rsidRPr="008C2C87" w:rsidRDefault="00442028" w:rsidP="001F36CD">
      <w:pPr>
        <w:widowControl/>
        <w:jc w:val="left"/>
        <w:rPr>
          <w:rFonts w:asciiTheme="minorEastAsia" w:hAnsiTheme="minorEastAsia"/>
          <w:sz w:val="24"/>
          <w:szCs w:val="24"/>
        </w:rPr>
      </w:pPr>
    </w:p>
    <w:p w14:paraId="05F82904" w14:textId="44095E47"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（構成員）</w:t>
      </w:r>
    </w:p>
    <w:p w14:paraId="7BF4B220" w14:textId="08A49C29" w:rsidR="006719E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３</w:t>
      </w:r>
      <w:r w:rsidRPr="008C2C87">
        <w:rPr>
          <w:rFonts w:asciiTheme="minorEastAsia" w:hAnsiTheme="minorEastAsia" w:hint="eastAsia"/>
          <w:sz w:val="24"/>
          <w:szCs w:val="24"/>
        </w:rPr>
        <w:t xml:space="preserve">条 </w:t>
      </w:r>
    </w:p>
    <w:p w14:paraId="7C6BA825" w14:textId="057ED687" w:rsidR="00E61B21" w:rsidRPr="008C2C87" w:rsidRDefault="00675216" w:rsidP="00675216">
      <w:pPr>
        <w:widowControl/>
        <w:ind w:firstLineChars="100" w:firstLine="240"/>
        <w:jc w:val="left"/>
        <w:rPr>
          <w:rFonts w:asciiTheme="minorEastAsia" w:hAnsiTheme="minorEastAsia"/>
          <w:sz w:val="24"/>
          <w:szCs w:val="24"/>
        </w:rPr>
      </w:pPr>
      <w:r w:rsidRPr="008C2C87">
        <w:rPr>
          <w:rFonts w:asciiTheme="minorEastAsia" w:hAnsiTheme="minorEastAsia"/>
          <w:sz w:val="24"/>
          <w:szCs w:val="24"/>
        </w:rPr>
        <w:t>本協議会は、学識経験等を有する</w:t>
      </w:r>
      <w:r w:rsidR="008C5D04" w:rsidRPr="008C2C87">
        <w:rPr>
          <w:rFonts w:asciiTheme="minorEastAsia" w:hAnsiTheme="minorEastAsia" w:hint="eastAsia"/>
          <w:sz w:val="24"/>
          <w:szCs w:val="24"/>
        </w:rPr>
        <w:t>委員</w:t>
      </w:r>
      <w:r w:rsidRPr="008C2C87">
        <w:rPr>
          <w:rFonts w:asciiTheme="minorEastAsia" w:hAnsiTheme="minorEastAsia"/>
          <w:sz w:val="24"/>
          <w:szCs w:val="24"/>
        </w:rPr>
        <w:t>並びに次世代型</w:t>
      </w:r>
      <w:r w:rsidR="00E61B21" w:rsidRPr="008C2C87">
        <w:rPr>
          <w:rFonts w:asciiTheme="minorEastAsia" w:hAnsiTheme="minorEastAsia" w:hint="eastAsia"/>
          <w:sz w:val="24"/>
          <w:szCs w:val="24"/>
        </w:rPr>
        <w:t>地熱発電</w:t>
      </w:r>
      <w:r w:rsidRPr="008C2C87">
        <w:rPr>
          <w:rFonts w:asciiTheme="minorEastAsia" w:hAnsiTheme="minorEastAsia"/>
          <w:sz w:val="24"/>
          <w:szCs w:val="24"/>
        </w:rPr>
        <w:t>の</w:t>
      </w:r>
      <w:r w:rsidR="00E61B21" w:rsidRPr="008C2C87">
        <w:rPr>
          <w:rFonts w:asciiTheme="minorEastAsia" w:hAnsiTheme="minorEastAsia" w:hint="eastAsia"/>
          <w:sz w:val="24"/>
          <w:szCs w:val="24"/>
        </w:rPr>
        <w:t>日本国内での早期実用化</w:t>
      </w:r>
      <w:r w:rsidR="006F0721" w:rsidRPr="008C2C87">
        <w:rPr>
          <w:rFonts w:asciiTheme="minorEastAsia" w:hAnsiTheme="minorEastAsia" w:hint="eastAsia"/>
          <w:sz w:val="24"/>
          <w:szCs w:val="24"/>
        </w:rPr>
        <w:t>及び</w:t>
      </w:r>
      <w:r w:rsidR="003A0107" w:rsidRPr="008C2C87">
        <w:rPr>
          <w:rFonts w:asciiTheme="minorEastAsia" w:hAnsiTheme="minorEastAsia" w:hint="eastAsia"/>
          <w:sz w:val="24"/>
          <w:szCs w:val="24"/>
        </w:rPr>
        <w:t>産業競争力強化</w:t>
      </w:r>
      <w:r w:rsidRPr="008C2C87">
        <w:rPr>
          <w:rFonts w:asciiTheme="minorEastAsia" w:hAnsiTheme="minorEastAsia"/>
          <w:sz w:val="24"/>
          <w:szCs w:val="24"/>
        </w:rPr>
        <w:t>という本協議会の趣旨及び検討事項に関係する民間団体・事業者等である協議メンバーから構成することとする。</w:t>
      </w:r>
    </w:p>
    <w:p w14:paraId="63A7B26E" w14:textId="41BFAC0E" w:rsidR="003558B0" w:rsidRPr="008C2C87" w:rsidRDefault="003558B0" w:rsidP="00675216">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協議会には、座長を置き、協議会の議事運営に当たる。</w:t>
      </w:r>
    </w:p>
    <w:p w14:paraId="1E0ABBB4" w14:textId="2F290D1A" w:rsidR="00675216" w:rsidRPr="008C2C87" w:rsidRDefault="00675216" w:rsidP="00675216">
      <w:pPr>
        <w:widowControl/>
        <w:ind w:firstLineChars="100" w:firstLine="240"/>
        <w:jc w:val="left"/>
        <w:rPr>
          <w:rFonts w:asciiTheme="minorEastAsia" w:hAnsiTheme="minorEastAsia"/>
          <w:sz w:val="24"/>
          <w:szCs w:val="24"/>
        </w:rPr>
      </w:pPr>
      <w:r w:rsidRPr="008C2C87">
        <w:rPr>
          <w:rFonts w:asciiTheme="minorEastAsia" w:hAnsiTheme="minorEastAsia"/>
          <w:sz w:val="24"/>
          <w:szCs w:val="24"/>
        </w:rPr>
        <w:t>新たに民間団体・事業者等から、事務局に対して協議会への参加希望があった場合は、事務局において、本協議会の設置</w:t>
      </w:r>
      <w:r w:rsidR="00FA635A" w:rsidRPr="008C2C87">
        <w:rPr>
          <w:rFonts w:asciiTheme="minorEastAsia" w:hAnsiTheme="minorEastAsia" w:hint="eastAsia"/>
          <w:sz w:val="24"/>
          <w:szCs w:val="24"/>
        </w:rPr>
        <w:t>目的</w:t>
      </w:r>
      <w:r w:rsidRPr="008C2C87">
        <w:rPr>
          <w:rFonts w:asciiTheme="minorEastAsia" w:hAnsiTheme="minorEastAsia"/>
          <w:sz w:val="24"/>
          <w:szCs w:val="24"/>
        </w:rPr>
        <w:t>に照らし</w:t>
      </w:r>
      <w:r w:rsidR="003558B0" w:rsidRPr="008C2C87">
        <w:rPr>
          <w:rFonts w:asciiTheme="minorEastAsia" w:hAnsiTheme="minorEastAsia" w:hint="eastAsia"/>
          <w:sz w:val="24"/>
          <w:szCs w:val="24"/>
        </w:rPr>
        <w:t>、座長と</w:t>
      </w:r>
      <w:r w:rsidR="00D247DF" w:rsidRPr="008C2C87">
        <w:rPr>
          <w:rFonts w:asciiTheme="minorEastAsia" w:hAnsiTheme="minorEastAsia" w:hint="eastAsia"/>
          <w:sz w:val="24"/>
          <w:szCs w:val="24"/>
        </w:rPr>
        <w:t>協議の上</w:t>
      </w:r>
      <w:r w:rsidR="003558B0" w:rsidRPr="008C2C87">
        <w:rPr>
          <w:rFonts w:asciiTheme="minorEastAsia" w:hAnsiTheme="minorEastAsia" w:hint="eastAsia"/>
          <w:sz w:val="24"/>
          <w:szCs w:val="24"/>
        </w:rPr>
        <w:t>、事務局が</w:t>
      </w:r>
      <w:r w:rsidRPr="008C2C87">
        <w:rPr>
          <w:rFonts w:asciiTheme="minorEastAsia" w:hAnsiTheme="minorEastAsia"/>
          <w:sz w:val="24"/>
          <w:szCs w:val="24"/>
        </w:rPr>
        <w:t>参加可否を決定する。</w:t>
      </w:r>
    </w:p>
    <w:p w14:paraId="4F5BC8A9" w14:textId="77777777" w:rsidR="00B8532F" w:rsidRPr="008C2C87" w:rsidRDefault="00B8532F" w:rsidP="00B8532F">
      <w:pPr>
        <w:widowControl/>
        <w:jc w:val="left"/>
        <w:rPr>
          <w:rFonts w:asciiTheme="minorEastAsia" w:hAnsiTheme="minorEastAsia"/>
          <w:sz w:val="24"/>
          <w:szCs w:val="24"/>
        </w:rPr>
      </w:pPr>
    </w:p>
    <w:p w14:paraId="66B7BA21" w14:textId="2B868A2D"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の取扱い）</w:t>
      </w:r>
    </w:p>
    <w:p w14:paraId="145197CC" w14:textId="7D494F2B" w:rsidR="006719E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４</w:t>
      </w:r>
      <w:r w:rsidRPr="008C2C87">
        <w:rPr>
          <w:rFonts w:asciiTheme="minorEastAsia" w:hAnsiTheme="minorEastAsia" w:hint="eastAsia"/>
          <w:sz w:val="24"/>
          <w:szCs w:val="24"/>
        </w:rPr>
        <w:t xml:space="preserve">条 </w:t>
      </w:r>
    </w:p>
    <w:p w14:paraId="316C720F" w14:textId="4D7DB52F"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の取扱いは、以下によるものとする。</w:t>
      </w:r>
    </w:p>
    <w:p w14:paraId="189F6ACF" w14:textId="1473AC41"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（１） 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は、参加者の自由な議論を担保する観点から、一般からの会議の傍聴は行わないこととする。</w:t>
      </w:r>
    </w:p>
    <w:p w14:paraId="15B05A68" w14:textId="49140C75" w:rsidR="00B8532F" w:rsidRPr="008C2C87" w:rsidRDefault="00B8532F" w:rsidP="007F1B60">
      <w:pPr>
        <w:widowControl/>
        <w:jc w:val="left"/>
        <w:rPr>
          <w:rFonts w:asciiTheme="minorEastAsia" w:hAnsiTheme="minorEastAsia"/>
          <w:sz w:val="24"/>
          <w:szCs w:val="24"/>
        </w:rPr>
      </w:pPr>
      <w:r w:rsidRPr="008C2C87">
        <w:rPr>
          <w:rFonts w:asciiTheme="minorEastAsia" w:hAnsiTheme="minorEastAsia" w:hint="eastAsia"/>
          <w:sz w:val="24"/>
          <w:szCs w:val="24"/>
        </w:rPr>
        <w:t xml:space="preserve">（２） </w:t>
      </w:r>
      <w:r w:rsidR="007F1B60" w:rsidRPr="008C2C87">
        <w:rPr>
          <w:rFonts w:asciiTheme="minorEastAsia" w:hAnsiTheme="minorEastAsia" w:hint="eastAsia"/>
          <w:sz w:val="24"/>
          <w:szCs w:val="24"/>
        </w:rPr>
        <w:t>配布資料は、原則として経済産業省ホームページを通じて公開とする。ただし、企業秘密や個人情報等が含まれており、これを公にすることにより、当該法人等又は当該個人の権利、競争上の地位、その他正当な利害を害するおそれがあると判断された場合は、非公開とすることもあり得る。</w:t>
      </w:r>
    </w:p>
    <w:p w14:paraId="0AAB1BA8" w14:textId="1215C2A6"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（３） 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の内容については、発言者が特定されないような形で概要のみ公開する。</w:t>
      </w:r>
    </w:p>
    <w:p w14:paraId="1812959C" w14:textId="49FF2F1B" w:rsidR="007F1B60" w:rsidRPr="008C2C87" w:rsidRDefault="007F1B60" w:rsidP="007F1B60">
      <w:pPr>
        <w:widowControl/>
        <w:jc w:val="left"/>
        <w:rPr>
          <w:rFonts w:asciiTheme="minorEastAsia" w:hAnsiTheme="minorEastAsia"/>
          <w:sz w:val="24"/>
          <w:szCs w:val="24"/>
        </w:rPr>
      </w:pPr>
      <w:r w:rsidRPr="008C2C87">
        <w:rPr>
          <w:rFonts w:asciiTheme="minorEastAsia" w:hAnsiTheme="minorEastAsia" w:hint="eastAsia"/>
          <w:sz w:val="24"/>
          <w:szCs w:val="24"/>
        </w:rPr>
        <w:t>（４）</w:t>
      </w:r>
      <w:r w:rsidR="00E23416" w:rsidRPr="008C2C87">
        <w:rPr>
          <w:rFonts w:asciiTheme="minorEastAsia" w:hAnsiTheme="minorEastAsia" w:hint="eastAsia"/>
          <w:sz w:val="24"/>
          <w:szCs w:val="24"/>
        </w:rPr>
        <w:t>その他の</w:t>
      </w:r>
      <w:r w:rsidRPr="008C2C87">
        <w:rPr>
          <w:rFonts w:asciiTheme="minorEastAsia" w:hAnsiTheme="minorEastAsia" w:hint="eastAsia"/>
          <w:sz w:val="24"/>
          <w:szCs w:val="24"/>
        </w:rPr>
        <w:t>個別の事情に応じて、協議会又は資料の公開方法又は非公開にするかどうかについての判断は、座長に一任するものとする。</w:t>
      </w:r>
    </w:p>
    <w:p w14:paraId="6A68E6D7" w14:textId="77777777" w:rsidR="00B8532F" w:rsidRPr="008C2C87" w:rsidRDefault="00B8532F" w:rsidP="00B8532F">
      <w:pPr>
        <w:widowControl/>
        <w:jc w:val="left"/>
        <w:rPr>
          <w:rFonts w:asciiTheme="minorEastAsia" w:hAnsiTheme="minorEastAsia"/>
          <w:sz w:val="24"/>
          <w:szCs w:val="24"/>
        </w:rPr>
      </w:pPr>
    </w:p>
    <w:p w14:paraId="6150AD08" w14:textId="0F2DC846"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lastRenderedPageBreak/>
        <w:t>（事務局）</w:t>
      </w:r>
    </w:p>
    <w:p w14:paraId="6A04A63E" w14:textId="1E1F40D0" w:rsidR="006719E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５</w:t>
      </w:r>
      <w:r w:rsidRPr="008C2C87">
        <w:rPr>
          <w:rFonts w:asciiTheme="minorEastAsia" w:hAnsiTheme="minorEastAsia" w:hint="eastAsia"/>
          <w:sz w:val="24"/>
          <w:szCs w:val="24"/>
        </w:rPr>
        <w:t xml:space="preserve">条 </w:t>
      </w:r>
    </w:p>
    <w:p w14:paraId="14ABAD8E" w14:textId="0D5FBE6B" w:rsidR="00B8532F" w:rsidRPr="008C2C87" w:rsidRDefault="00B8532F" w:rsidP="0083365D">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に係る事務は、経済産業省資源エネルギー庁及び</w:t>
      </w:r>
      <w:r w:rsidR="006B272B" w:rsidRPr="008C2C87">
        <w:rPr>
          <w:rFonts w:asciiTheme="minorEastAsia" w:hAnsiTheme="minorEastAsia" w:hint="eastAsia"/>
          <w:sz w:val="24"/>
          <w:szCs w:val="24"/>
        </w:rPr>
        <w:t>独立行政法人エネルギー・金属鉱物資源機構（JOGMEC）</w:t>
      </w:r>
      <w:r w:rsidR="002C5BB3" w:rsidRPr="008C2C87">
        <w:rPr>
          <w:rFonts w:asciiTheme="minorEastAsia" w:hAnsiTheme="minorEastAsia" w:hint="eastAsia"/>
          <w:sz w:val="24"/>
          <w:szCs w:val="24"/>
        </w:rPr>
        <w:t>が</w:t>
      </w:r>
      <w:r w:rsidRPr="008C2C87">
        <w:rPr>
          <w:rFonts w:asciiTheme="minorEastAsia" w:hAnsiTheme="minorEastAsia" w:hint="eastAsia"/>
          <w:sz w:val="24"/>
          <w:szCs w:val="24"/>
        </w:rPr>
        <w:t>行う。</w:t>
      </w:r>
    </w:p>
    <w:p w14:paraId="1E5BD265" w14:textId="42333736" w:rsidR="0083365D" w:rsidRPr="008C2C87" w:rsidRDefault="00DA67ED" w:rsidP="002B5DFA">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検討事項第２条（４）においては、事務局が</w:t>
      </w:r>
      <w:r w:rsidR="00C660E6" w:rsidRPr="008C2C87">
        <w:rPr>
          <w:rFonts w:asciiTheme="minorEastAsia" w:hAnsiTheme="minorEastAsia" w:hint="eastAsia"/>
          <w:sz w:val="24"/>
          <w:szCs w:val="24"/>
        </w:rPr>
        <w:t>、</w:t>
      </w:r>
      <w:r w:rsidR="00121C03" w:rsidRPr="008C2C87">
        <w:rPr>
          <w:rFonts w:asciiTheme="minorEastAsia" w:hAnsiTheme="minorEastAsia" w:hint="eastAsia"/>
          <w:sz w:val="24"/>
          <w:szCs w:val="24"/>
        </w:rPr>
        <w:t>本協議会における議論を踏まえ</w:t>
      </w:r>
      <w:r w:rsidRPr="008C2C87">
        <w:rPr>
          <w:rFonts w:asciiTheme="minorEastAsia" w:hAnsiTheme="minorEastAsia" w:hint="eastAsia"/>
          <w:sz w:val="24"/>
          <w:szCs w:val="24"/>
        </w:rPr>
        <w:t>、本協議会にロードマップ案を提案</w:t>
      </w:r>
      <w:r w:rsidR="002B5DFA">
        <w:rPr>
          <w:rFonts w:asciiTheme="minorEastAsia" w:hAnsiTheme="minorEastAsia" w:hint="eastAsia"/>
          <w:sz w:val="24"/>
          <w:szCs w:val="24"/>
        </w:rPr>
        <w:t>し、委員と協議の上、決定する</w:t>
      </w:r>
      <w:r w:rsidRPr="008C2C87">
        <w:rPr>
          <w:rFonts w:asciiTheme="minorEastAsia" w:hAnsiTheme="minorEastAsia" w:hint="eastAsia"/>
          <w:sz w:val="24"/>
          <w:szCs w:val="24"/>
        </w:rPr>
        <w:t>。</w:t>
      </w:r>
    </w:p>
    <w:p w14:paraId="468B12B1" w14:textId="77777777" w:rsidR="00B8532F" w:rsidRPr="008C2C87" w:rsidRDefault="00B8532F" w:rsidP="00B8532F">
      <w:pPr>
        <w:widowControl/>
        <w:jc w:val="left"/>
        <w:rPr>
          <w:rFonts w:asciiTheme="minorEastAsia" w:hAnsiTheme="minorEastAsia"/>
          <w:sz w:val="24"/>
          <w:szCs w:val="24"/>
        </w:rPr>
      </w:pPr>
    </w:p>
    <w:p w14:paraId="192DE273" w14:textId="556CB5E6"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（守秘義務）</w:t>
      </w:r>
    </w:p>
    <w:p w14:paraId="785A1D73" w14:textId="7D4F6479" w:rsidR="002C5BB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６</w:t>
      </w:r>
      <w:r w:rsidRPr="008C2C87">
        <w:rPr>
          <w:rFonts w:asciiTheme="minorEastAsia" w:hAnsiTheme="minorEastAsia" w:hint="eastAsia"/>
          <w:sz w:val="24"/>
          <w:szCs w:val="24"/>
        </w:rPr>
        <w:t xml:space="preserve">条 </w:t>
      </w:r>
    </w:p>
    <w:p w14:paraId="2D1F4872" w14:textId="71B5FF09" w:rsidR="00B8532F" w:rsidRPr="008C2C87" w:rsidRDefault="00B8532F" w:rsidP="0083365D">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構成員は、本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を通じて知り得た秘密事項を漏らしてはならない。その職を退いた後も同様とする。</w:t>
      </w:r>
    </w:p>
    <w:p w14:paraId="510F36BD" w14:textId="77777777" w:rsidR="00B8532F" w:rsidRPr="008C2C87" w:rsidRDefault="00B8532F" w:rsidP="00B8532F">
      <w:pPr>
        <w:widowControl/>
        <w:jc w:val="left"/>
        <w:rPr>
          <w:rFonts w:asciiTheme="minorEastAsia" w:hAnsiTheme="minorEastAsia"/>
          <w:sz w:val="24"/>
          <w:szCs w:val="24"/>
        </w:rPr>
      </w:pPr>
    </w:p>
    <w:p w14:paraId="242B06D9" w14:textId="6058FDD8"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（雑則）</w:t>
      </w:r>
    </w:p>
    <w:p w14:paraId="52A515D0" w14:textId="7F231925" w:rsidR="002C5BB3"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７</w:t>
      </w:r>
      <w:r w:rsidRPr="008C2C87">
        <w:rPr>
          <w:rFonts w:asciiTheme="minorEastAsia" w:hAnsiTheme="minorEastAsia" w:hint="eastAsia"/>
          <w:sz w:val="24"/>
          <w:szCs w:val="24"/>
        </w:rPr>
        <w:t>条</w:t>
      </w:r>
      <w:r w:rsidRPr="00B8532F">
        <w:rPr>
          <w:rFonts w:asciiTheme="minorEastAsia" w:hAnsiTheme="minorEastAsia" w:hint="eastAsia"/>
          <w:sz w:val="24"/>
          <w:szCs w:val="24"/>
        </w:rPr>
        <w:t xml:space="preserve"> </w:t>
      </w:r>
    </w:p>
    <w:p w14:paraId="541735DA" w14:textId="7093E21C" w:rsidR="00B8532F" w:rsidRPr="00B8532F" w:rsidRDefault="00B8532F" w:rsidP="0083365D">
      <w:pPr>
        <w:widowControl/>
        <w:ind w:firstLineChars="100" w:firstLine="240"/>
        <w:jc w:val="left"/>
        <w:rPr>
          <w:rFonts w:asciiTheme="minorEastAsia" w:hAnsiTheme="minorEastAsia"/>
          <w:sz w:val="24"/>
          <w:szCs w:val="24"/>
        </w:rPr>
      </w:pPr>
      <w:r w:rsidRPr="00B8532F">
        <w:rPr>
          <w:rFonts w:asciiTheme="minorEastAsia" w:hAnsiTheme="minorEastAsia" w:hint="eastAsia"/>
          <w:sz w:val="24"/>
          <w:szCs w:val="24"/>
        </w:rPr>
        <w:t>この要綱に定めるもののほか、本</w:t>
      </w:r>
      <w:r w:rsidR="00F96562">
        <w:rPr>
          <w:rFonts w:asciiTheme="minorEastAsia" w:hAnsiTheme="minorEastAsia" w:hint="eastAsia"/>
          <w:sz w:val="24"/>
          <w:szCs w:val="24"/>
        </w:rPr>
        <w:t>協議会</w:t>
      </w:r>
      <w:r w:rsidRPr="00B8532F">
        <w:rPr>
          <w:rFonts w:asciiTheme="minorEastAsia" w:hAnsiTheme="minorEastAsia" w:hint="eastAsia"/>
          <w:sz w:val="24"/>
          <w:szCs w:val="24"/>
        </w:rPr>
        <w:t>の運営に関し必要な事項については、 本</w:t>
      </w:r>
      <w:r w:rsidR="00F96562">
        <w:rPr>
          <w:rFonts w:asciiTheme="minorEastAsia" w:hAnsiTheme="minorEastAsia" w:hint="eastAsia"/>
          <w:sz w:val="24"/>
          <w:szCs w:val="24"/>
        </w:rPr>
        <w:t>協議会</w:t>
      </w:r>
      <w:r w:rsidRPr="00B8532F">
        <w:rPr>
          <w:rFonts w:asciiTheme="minorEastAsia" w:hAnsiTheme="minorEastAsia" w:hint="eastAsia"/>
          <w:sz w:val="24"/>
          <w:szCs w:val="24"/>
        </w:rPr>
        <w:t>で定めるものとする。</w:t>
      </w:r>
    </w:p>
    <w:p w14:paraId="3DE853A2" w14:textId="77777777" w:rsidR="00B8532F" w:rsidRDefault="00B8532F" w:rsidP="00B8532F">
      <w:pPr>
        <w:widowControl/>
        <w:jc w:val="left"/>
        <w:rPr>
          <w:rFonts w:asciiTheme="minorEastAsia" w:hAnsiTheme="minorEastAsia"/>
          <w:sz w:val="24"/>
          <w:szCs w:val="24"/>
        </w:rPr>
      </w:pPr>
    </w:p>
    <w:p w14:paraId="1979DB77" w14:textId="4FB3C062" w:rsidR="00B8532F" w:rsidRPr="00B8532F"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附 則</w:t>
      </w:r>
    </w:p>
    <w:p w14:paraId="203FF386" w14:textId="6E373ED6" w:rsidR="005C5442"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１ この規約は、令和</w:t>
      </w:r>
      <w:r w:rsidR="006B272B">
        <w:rPr>
          <w:rFonts w:asciiTheme="minorEastAsia" w:hAnsiTheme="minorEastAsia" w:hint="eastAsia"/>
          <w:sz w:val="24"/>
          <w:szCs w:val="24"/>
        </w:rPr>
        <w:t>７</w:t>
      </w:r>
      <w:r w:rsidRPr="00B8532F">
        <w:rPr>
          <w:rFonts w:asciiTheme="minorEastAsia" w:hAnsiTheme="minorEastAsia" w:hint="eastAsia"/>
          <w:sz w:val="24"/>
          <w:szCs w:val="24"/>
        </w:rPr>
        <w:t>年</w:t>
      </w:r>
      <w:r w:rsidR="006B272B">
        <w:rPr>
          <w:rFonts w:asciiTheme="minorEastAsia" w:hAnsiTheme="minorEastAsia" w:hint="eastAsia"/>
          <w:sz w:val="24"/>
          <w:szCs w:val="24"/>
        </w:rPr>
        <w:t>４</w:t>
      </w:r>
      <w:r w:rsidRPr="00B8532F">
        <w:rPr>
          <w:rFonts w:asciiTheme="minorEastAsia" w:hAnsiTheme="minorEastAsia" w:hint="eastAsia"/>
          <w:sz w:val="24"/>
          <w:szCs w:val="24"/>
        </w:rPr>
        <w:t>月</w:t>
      </w:r>
      <w:r w:rsidR="00F22D50">
        <w:rPr>
          <w:rFonts w:asciiTheme="minorEastAsia" w:hAnsiTheme="minorEastAsia" w:hint="eastAsia"/>
          <w:sz w:val="24"/>
          <w:szCs w:val="24"/>
        </w:rPr>
        <w:t>１４</w:t>
      </w:r>
      <w:r w:rsidRPr="00B8532F">
        <w:rPr>
          <w:rFonts w:asciiTheme="minorEastAsia" w:hAnsiTheme="minorEastAsia" w:hint="eastAsia"/>
          <w:sz w:val="24"/>
          <w:szCs w:val="24"/>
        </w:rPr>
        <w:t>日</w:t>
      </w:r>
      <w:r w:rsidR="002C5BB3">
        <w:rPr>
          <w:rFonts w:asciiTheme="minorEastAsia" w:hAnsiTheme="minorEastAsia" w:hint="eastAsia"/>
          <w:sz w:val="24"/>
          <w:szCs w:val="24"/>
        </w:rPr>
        <w:t>（第１回開催日）</w:t>
      </w:r>
      <w:r w:rsidRPr="00B8532F">
        <w:rPr>
          <w:rFonts w:asciiTheme="minorEastAsia" w:hAnsiTheme="minorEastAsia" w:hint="eastAsia"/>
          <w:sz w:val="24"/>
          <w:szCs w:val="24"/>
        </w:rPr>
        <w:t>から施行する</w:t>
      </w:r>
    </w:p>
    <w:p w14:paraId="2E5B88C0"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5E88" w14:textId="77777777" w:rsidR="00B64F58" w:rsidRDefault="00B64F58" w:rsidP="003C0825">
      <w:r>
        <w:separator/>
      </w:r>
    </w:p>
  </w:endnote>
  <w:endnote w:type="continuationSeparator" w:id="0">
    <w:p w14:paraId="3A82D05F" w14:textId="77777777" w:rsidR="00B64F58" w:rsidRDefault="00B64F58" w:rsidP="003C0825">
      <w:r>
        <w:continuationSeparator/>
      </w:r>
    </w:p>
  </w:endnote>
  <w:endnote w:type="continuationNotice" w:id="1">
    <w:p w14:paraId="2D359F79" w14:textId="77777777" w:rsidR="009F21CD" w:rsidRDefault="009F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B5A3" w14:textId="77777777" w:rsidR="00B64F58" w:rsidRDefault="00B64F58" w:rsidP="003C0825">
      <w:r>
        <w:separator/>
      </w:r>
    </w:p>
  </w:footnote>
  <w:footnote w:type="continuationSeparator" w:id="0">
    <w:p w14:paraId="22532D12" w14:textId="77777777" w:rsidR="00B64F58" w:rsidRDefault="00B64F58" w:rsidP="003C0825">
      <w:r>
        <w:continuationSeparator/>
      </w:r>
    </w:p>
  </w:footnote>
  <w:footnote w:type="continuationNotice" w:id="1">
    <w:p w14:paraId="27C3C8F4" w14:textId="77777777" w:rsidR="009F21CD" w:rsidRDefault="009F2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821"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5BFD"/>
    <w:multiLevelType w:val="hybridMultilevel"/>
    <w:tmpl w:val="6A781BFA"/>
    <w:lvl w:ilvl="0" w:tplc="BE30D03E">
      <w:start w:val="1"/>
      <w:numFmt w:val="bullet"/>
      <w:lvlText w:val=""/>
      <w:lvlJc w:val="left"/>
      <w:pPr>
        <w:tabs>
          <w:tab w:val="num" w:pos="720"/>
        </w:tabs>
        <w:ind w:left="720" w:hanging="360"/>
      </w:pPr>
      <w:rPr>
        <w:rFonts w:ascii="Wingdings" w:hAnsi="Wingdings" w:hint="default"/>
      </w:rPr>
    </w:lvl>
    <w:lvl w:ilvl="1" w:tplc="53C4D946" w:tentative="1">
      <w:start w:val="1"/>
      <w:numFmt w:val="bullet"/>
      <w:lvlText w:val=""/>
      <w:lvlJc w:val="left"/>
      <w:pPr>
        <w:tabs>
          <w:tab w:val="num" w:pos="1440"/>
        </w:tabs>
        <w:ind w:left="1440" w:hanging="360"/>
      </w:pPr>
      <w:rPr>
        <w:rFonts w:ascii="Wingdings" w:hAnsi="Wingdings" w:hint="default"/>
      </w:rPr>
    </w:lvl>
    <w:lvl w:ilvl="2" w:tplc="CC381DFA" w:tentative="1">
      <w:start w:val="1"/>
      <w:numFmt w:val="bullet"/>
      <w:lvlText w:val=""/>
      <w:lvlJc w:val="left"/>
      <w:pPr>
        <w:tabs>
          <w:tab w:val="num" w:pos="2160"/>
        </w:tabs>
        <w:ind w:left="2160" w:hanging="360"/>
      </w:pPr>
      <w:rPr>
        <w:rFonts w:ascii="Wingdings" w:hAnsi="Wingdings" w:hint="default"/>
      </w:rPr>
    </w:lvl>
    <w:lvl w:ilvl="3" w:tplc="405098B0" w:tentative="1">
      <w:start w:val="1"/>
      <w:numFmt w:val="bullet"/>
      <w:lvlText w:val=""/>
      <w:lvlJc w:val="left"/>
      <w:pPr>
        <w:tabs>
          <w:tab w:val="num" w:pos="2880"/>
        </w:tabs>
        <w:ind w:left="2880" w:hanging="360"/>
      </w:pPr>
      <w:rPr>
        <w:rFonts w:ascii="Wingdings" w:hAnsi="Wingdings" w:hint="default"/>
      </w:rPr>
    </w:lvl>
    <w:lvl w:ilvl="4" w:tplc="0CF0D56A" w:tentative="1">
      <w:start w:val="1"/>
      <w:numFmt w:val="bullet"/>
      <w:lvlText w:val=""/>
      <w:lvlJc w:val="left"/>
      <w:pPr>
        <w:tabs>
          <w:tab w:val="num" w:pos="3600"/>
        </w:tabs>
        <w:ind w:left="3600" w:hanging="360"/>
      </w:pPr>
      <w:rPr>
        <w:rFonts w:ascii="Wingdings" w:hAnsi="Wingdings" w:hint="default"/>
      </w:rPr>
    </w:lvl>
    <w:lvl w:ilvl="5" w:tplc="DC568EEE" w:tentative="1">
      <w:start w:val="1"/>
      <w:numFmt w:val="bullet"/>
      <w:lvlText w:val=""/>
      <w:lvlJc w:val="left"/>
      <w:pPr>
        <w:tabs>
          <w:tab w:val="num" w:pos="4320"/>
        </w:tabs>
        <w:ind w:left="4320" w:hanging="360"/>
      </w:pPr>
      <w:rPr>
        <w:rFonts w:ascii="Wingdings" w:hAnsi="Wingdings" w:hint="default"/>
      </w:rPr>
    </w:lvl>
    <w:lvl w:ilvl="6" w:tplc="D5AE07E6" w:tentative="1">
      <w:start w:val="1"/>
      <w:numFmt w:val="bullet"/>
      <w:lvlText w:val=""/>
      <w:lvlJc w:val="left"/>
      <w:pPr>
        <w:tabs>
          <w:tab w:val="num" w:pos="5040"/>
        </w:tabs>
        <w:ind w:left="5040" w:hanging="360"/>
      </w:pPr>
      <w:rPr>
        <w:rFonts w:ascii="Wingdings" w:hAnsi="Wingdings" w:hint="default"/>
      </w:rPr>
    </w:lvl>
    <w:lvl w:ilvl="7" w:tplc="4CF4A2AA" w:tentative="1">
      <w:start w:val="1"/>
      <w:numFmt w:val="bullet"/>
      <w:lvlText w:val=""/>
      <w:lvlJc w:val="left"/>
      <w:pPr>
        <w:tabs>
          <w:tab w:val="num" w:pos="5760"/>
        </w:tabs>
        <w:ind w:left="5760" w:hanging="360"/>
      </w:pPr>
      <w:rPr>
        <w:rFonts w:ascii="Wingdings" w:hAnsi="Wingdings" w:hint="default"/>
      </w:rPr>
    </w:lvl>
    <w:lvl w:ilvl="8" w:tplc="FFEA82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C834FD"/>
    <w:multiLevelType w:val="hybridMultilevel"/>
    <w:tmpl w:val="2ECCBE4A"/>
    <w:lvl w:ilvl="0" w:tplc="A2B0D62A">
      <w:start w:val="1"/>
      <w:numFmt w:val="bullet"/>
      <w:lvlText w:val=""/>
      <w:lvlJc w:val="left"/>
      <w:pPr>
        <w:tabs>
          <w:tab w:val="num" w:pos="720"/>
        </w:tabs>
        <w:ind w:left="720" w:hanging="360"/>
      </w:pPr>
      <w:rPr>
        <w:rFonts w:ascii="Wingdings" w:hAnsi="Wingdings" w:hint="default"/>
      </w:rPr>
    </w:lvl>
    <w:lvl w:ilvl="1" w:tplc="891A0FF8" w:tentative="1">
      <w:start w:val="1"/>
      <w:numFmt w:val="bullet"/>
      <w:lvlText w:val=""/>
      <w:lvlJc w:val="left"/>
      <w:pPr>
        <w:tabs>
          <w:tab w:val="num" w:pos="1440"/>
        </w:tabs>
        <w:ind w:left="1440" w:hanging="360"/>
      </w:pPr>
      <w:rPr>
        <w:rFonts w:ascii="Wingdings" w:hAnsi="Wingdings" w:hint="default"/>
      </w:rPr>
    </w:lvl>
    <w:lvl w:ilvl="2" w:tplc="16703AD2" w:tentative="1">
      <w:start w:val="1"/>
      <w:numFmt w:val="bullet"/>
      <w:lvlText w:val=""/>
      <w:lvlJc w:val="left"/>
      <w:pPr>
        <w:tabs>
          <w:tab w:val="num" w:pos="2160"/>
        </w:tabs>
        <w:ind w:left="2160" w:hanging="360"/>
      </w:pPr>
      <w:rPr>
        <w:rFonts w:ascii="Wingdings" w:hAnsi="Wingdings" w:hint="default"/>
      </w:rPr>
    </w:lvl>
    <w:lvl w:ilvl="3" w:tplc="F6245924" w:tentative="1">
      <w:start w:val="1"/>
      <w:numFmt w:val="bullet"/>
      <w:lvlText w:val=""/>
      <w:lvlJc w:val="left"/>
      <w:pPr>
        <w:tabs>
          <w:tab w:val="num" w:pos="2880"/>
        </w:tabs>
        <w:ind w:left="2880" w:hanging="360"/>
      </w:pPr>
      <w:rPr>
        <w:rFonts w:ascii="Wingdings" w:hAnsi="Wingdings" w:hint="default"/>
      </w:rPr>
    </w:lvl>
    <w:lvl w:ilvl="4" w:tplc="151C2692" w:tentative="1">
      <w:start w:val="1"/>
      <w:numFmt w:val="bullet"/>
      <w:lvlText w:val=""/>
      <w:lvlJc w:val="left"/>
      <w:pPr>
        <w:tabs>
          <w:tab w:val="num" w:pos="3600"/>
        </w:tabs>
        <w:ind w:left="3600" w:hanging="360"/>
      </w:pPr>
      <w:rPr>
        <w:rFonts w:ascii="Wingdings" w:hAnsi="Wingdings" w:hint="default"/>
      </w:rPr>
    </w:lvl>
    <w:lvl w:ilvl="5" w:tplc="18D653A6" w:tentative="1">
      <w:start w:val="1"/>
      <w:numFmt w:val="bullet"/>
      <w:lvlText w:val=""/>
      <w:lvlJc w:val="left"/>
      <w:pPr>
        <w:tabs>
          <w:tab w:val="num" w:pos="4320"/>
        </w:tabs>
        <w:ind w:left="4320" w:hanging="360"/>
      </w:pPr>
      <w:rPr>
        <w:rFonts w:ascii="Wingdings" w:hAnsi="Wingdings" w:hint="default"/>
      </w:rPr>
    </w:lvl>
    <w:lvl w:ilvl="6" w:tplc="8F3A1EDE" w:tentative="1">
      <w:start w:val="1"/>
      <w:numFmt w:val="bullet"/>
      <w:lvlText w:val=""/>
      <w:lvlJc w:val="left"/>
      <w:pPr>
        <w:tabs>
          <w:tab w:val="num" w:pos="5040"/>
        </w:tabs>
        <w:ind w:left="5040" w:hanging="360"/>
      </w:pPr>
      <w:rPr>
        <w:rFonts w:ascii="Wingdings" w:hAnsi="Wingdings" w:hint="default"/>
      </w:rPr>
    </w:lvl>
    <w:lvl w:ilvl="7" w:tplc="97DEBB18" w:tentative="1">
      <w:start w:val="1"/>
      <w:numFmt w:val="bullet"/>
      <w:lvlText w:val=""/>
      <w:lvlJc w:val="left"/>
      <w:pPr>
        <w:tabs>
          <w:tab w:val="num" w:pos="5760"/>
        </w:tabs>
        <w:ind w:left="5760" w:hanging="360"/>
      </w:pPr>
      <w:rPr>
        <w:rFonts w:ascii="Wingdings" w:hAnsi="Wingdings" w:hint="default"/>
      </w:rPr>
    </w:lvl>
    <w:lvl w:ilvl="8" w:tplc="18D032F4" w:tentative="1">
      <w:start w:val="1"/>
      <w:numFmt w:val="bullet"/>
      <w:lvlText w:val=""/>
      <w:lvlJc w:val="left"/>
      <w:pPr>
        <w:tabs>
          <w:tab w:val="num" w:pos="6480"/>
        </w:tabs>
        <w:ind w:left="6480" w:hanging="360"/>
      </w:pPr>
      <w:rPr>
        <w:rFonts w:ascii="Wingdings" w:hAnsi="Wingdings" w:hint="default"/>
      </w:rPr>
    </w:lvl>
  </w:abstractNum>
  <w:num w:numId="1" w16cid:durableId="436029226">
    <w:abstractNumId w:val="1"/>
  </w:num>
  <w:num w:numId="2" w16cid:durableId="126406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58"/>
    <w:rsid w:val="000078BA"/>
    <w:rsid w:val="00024927"/>
    <w:rsid w:val="000714D7"/>
    <w:rsid w:val="00072E2F"/>
    <w:rsid w:val="000800FA"/>
    <w:rsid w:val="0008667A"/>
    <w:rsid w:val="000B5CA8"/>
    <w:rsid w:val="000C2515"/>
    <w:rsid w:val="000E4BEF"/>
    <w:rsid w:val="0010340A"/>
    <w:rsid w:val="00104A03"/>
    <w:rsid w:val="00110596"/>
    <w:rsid w:val="00117FBB"/>
    <w:rsid w:val="00120AD4"/>
    <w:rsid w:val="00121C03"/>
    <w:rsid w:val="0012704F"/>
    <w:rsid w:val="001270B0"/>
    <w:rsid w:val="00146B14"/>
    <w:rsid w:val="001950D4"/>
    <w:rsid w:val="001F229C"/>
    <w:rsid w:val="001F36CD"/>
    <w:rsid w:val="00234E6F"/>
    <w:rsid w:val="00240344"/>
    <w:rsid w:val="00252A38"/>
    <w:rsid w:val="002773B1"/>
    <w:rsid w:val="002B3920"/>
    <w:rsid w:val="002B5DFA"/>
    <w:rsid w:val="002C5BB3"/>
    <w:rsid w:val="002C7C55"/>
    <w:rsid w:val="002E6F42"/>
    <w:rsid w:val="002F2744"/>
    <w:rsid w:val="00300736"/>
    <w:rsid w:val="00306230"/>
    <w:rsid w:val="003069BA"/>
    <w:rsid w:val="003111E6"/>
    <w:rsid w:val="00314C0E"/>
    <w:rsid w:val="003273C3"/>
    <w:rsid w:val="00327709"/>
    <w:rsid w:val="00327A92"/>
    <w:rsid w:val="00342DA1"/>
    <w:rsid w:val="00347F7C"/>
    <w:rsid w:val="003558B0"/>
    <w:rsid w:val="00363364"/>
    <w:rsid w:val="00374BA6"/>
    <w:rsid w:val="00380AFB"/>
    <w:rsid w:val="00381329"/>
    <w:rsid w:val="00390507"/>
    <w:rsid w:val="003A0107"/>
    <w:rsid w:val="003B5E27"/>
    <w:rsid w:val="003C0825"/>
    <w:rsid w:val="003D02FA"/>
    <w:rsid w:val="003F18F3"/>
    <w:rsid w:val="00403A51"/>
    <w:rsid w:val="00415E57"/>
    <w:rsid w:val="00422B81"/>
    <w:rsid w:val="00423133"/>
    <w:rsid w:val="004318C0"/>
    <w:rsid w:val="00442028"/>
    <w:rsid w:val="00463120"/>
    <w:rsid w:val="0046326C"/>
    <w:rsid w:val="00482008"/>
    <w:rsid w:val="0049010A"/>
    <w:rsid w:val="00490F2E"/>
    <w:rsid w:val="004A02E6"/>
    <w:rsid w:val="004B0EDC"/>
    <w:rsid w:val="004B463C"/>
    <w:rsid w:val="004C07F4"/>
    <w:rsid w:val="004C0B52"/>
    <w:rsid w:val="004D5356"/>
    <w:rsid w:val="004E033B"/>
    <w:rsid w:val="005124C5"/>
    <w:rsid w:val="00512F4A"/>
    <w:rsid w:val="00533ECD"/>
    <w:rsid w:val="00543975"/>
    <w:rsid w:val="00553CC8"/>
    <w:rsid w:val="00554692"/>
    <w:rsid w:val="00564DE9"/>
    <w:rsid w:val="00574E90"/>
    <w:rsid w:val="00582C84"/>
    <w:rsid w:val="005A70DB"/>
    <w:rsid w:val="005B2C63"/>
    <w:rsid w:val="005C5442"/>
    <w:rsid w:val="005C7B6A"/>
    <w:rsid w:val="005D124A"/>
    <w:rsid w:val="005D4B4F"/>
    <w:rsid w:val="00646BD7"/>
    <w:rsid w:val="00655D1D"/>
    <w:rsid w:val="006719E3"/>
    <w:rsid w:val="00675216"/>
    <w:rsid w:val="0069081B"/>
    <w:rsid w:val="006B272B"/>
    <w:rsid w:val="006B2D33"/>
    <w:rsid w:val="006C6F37"/>
    <w:rsid w:val="006D2B34"/>
    <w:rsid w:val="006D7F6D"/>
    <w:rsid w:val="006F0721"/>
    <w:rsid w:val="006F43FF"/>
    <w:rsid w:val="00704A61"/>
    <w:rsid w:val="00712B71"/>
    <w:rsid w:val="00713177"/>
    <w:rsid w:val="0071550C"/>
    <w:rsid w:val="00724294"/>
    <w:rsid w:val="00725204"/>
    <w:rsid w:val="00762B35"/>
    <w:rsid w:val="00765DB6"/>
    <w:rsid w:val="007A7F73"/>
    <w:rsid w:val="007B02C8"/>
    <w:rsid w:val="007B05C5"/>
    <w:rsid w:val="007B3FAD"/>
    <w:rsid w:val="007C0E8B"/>
    <w:rsid w:val="007C5893"/>
    <w:rsid w:val="007F1B60"/>
    <w:rsid w:val="0080263F"/>
    <w:rsid w:val="008067A9"/>
    <w:rsid w:val="00807B5E"/>
    <w:rsid w:val="00823E1A"/>
    <w:rsid w:val="008248C2"/>
    <w:rsid w:val="0083365D"/>
    <w:rsid w:val="008351E7"/>
    <w:rsid w:val="00854164"/>
    <w:rsid w:val="0087280A"/>
    <w:rsid w:val="00880E03"/>
    <w:rsid w:val="008918A9"/>
    <w:rsid w:val="008A0756"/>
    <w:rsid w:val="008B6018"/>
    <w:rsid w:val="008C2C87"/>
    <w:rsid w:val="008C5D04"/>
    <w:rsid w:val="008C73D1"/>
    <w:rsid w:val="008E1201"/>
    <w:rsid w:val="008F3AC7"/>
    <w:rsid w:val="00933F69"/>
    <w:rsid w:val="009465DA"/>
    <w:rsid w:val="00981B64"/>
    <w:rsid w:val="00997C03"/>
    <w:rsid w:val="009B1553"/>
    <w:rsid w:val="009E032B"/>
    <w:rsid w:val="009F084A"/>
    <w:rsid w:val="009F1401"/>
    <w:rsid w:val="009F21CD"/>
    <w:rsid w:val="009F48A5"/>
    <w:rsid w:val="00A043EC"/>
    <w:rsid w:val="00A05727"/>
    <w:rsid w:val="00A10268"/>
    <w:rsid w:val="00A160BB"/>
    <w:rsid w:val="00A30345"/>
    <w:rsid w:val="00A323D2"/>
    <w:rsid w:val="00A70453"/>
    <w:rsid w:val="00A75324"/>
    <w:rsid w:val="00A77FF0"/>
    <w:rsid w:val="00A93162"/>
    <w:rsid w:val="00AB4FCA"/>
    <w:rsid w:val="00AC098C"/>
    <w:rsid w:val="00AE28B4"/>
    <w:rsid w:val="00AF24CA"/>
    <w:rsid w:val="00B0195D"/>
    <w:rsid w:val="00B215C6"/>
    <w:rsid w:val="00B217ED"/>
    <w:rsid w:val="00B64F58"/>
    <w:rsid w:val="00B76BF1"/>
    <w:rsid w:val="00B76EF8"/>
    <w:rsid w:val="00B8532F"/>
    <w:rsid w:val="00BA0A42"/>
    <w:rsid w:val="00BA4600"/>
    <w:rsid w:val="00BA70AE"/>
    <w:rsid w:val="00BB08AD"/>
    <w:rsid w:val="00BB1C55"/>
    <w:rsid w:val="00BB7D77"/>
    <w:rsid w:val="00C030AE"/>
    <w:rsid w:val="00C07EFE"/>
    <w:rsid w:val="00C11B59"/>
    <w:rsid w:val="00C158EA"/>
    <w:rsid w:val="00C260B1"/>
    <w:rsid w:val="00C26D10"/>
    <w:rsid w:val="00C34214"/>
    <w:rsid w:val="00C36AE3"/>
    <w:rsid w:val="00C36B50"/>
    <w:rsid w:val="00C43A65"/>
    <w:rsid w:val="00C45DD7"/>
    <w:rsid w:val="00C660E6"/>
    <w:rsid w:val="00C9072D"/>
    <w:rsid w:val="00C921D2"/>
    <w:rsid w:val="00C930CA"/>
    <w:rsid w:val="00CE6391"/>
    <w:rsid w:val="00CE6F05"/>
    <w:rsid w:val="00CF68A6"/>
    <w:rsid w:val="00CF6B7C"/>
    <w:rsid w:val="00CF7724"/>
    <w:rsid w:val="00D07648"/>
    <w:rsid w:val="00D11860"/>
    <w:rsid w:val="00D13764"/>
    <w:rsid w:val="00D247DF"/>
    <w:rsid w:val="00D613E7"/>
    <w:rsid w:val="00D97A3E"/>
    <w:rsid w:val="00DA67ED"/>
    <w:rsid w:val="00DA71D4"/>
    <w:rsid w:val="00DB1A89"/>
    <w:rsid w:val="00DC4116"/>
    <w:rsid w:val="00DC69D8"/>
    <w:rsid w:val="00DD70DF"/>
    <w:rsid w:val="00E0101A"/>
    <w:rsid w:val="00E12D42"/>
    <w:rsid w:val="00E15C45"/>
    <w:rsid w:val="00E23416"/>
    <w:rsid w:val="00E30B32"/>
    <w:rsid w:val="00E36A14"/>
    <w:rsid w:val="00E5409C"/>
    <w:rsid w:val="00E61B21"/>
    <w:rsid w:val="00E63E53"/>
    <w:rsid w:val="00E902C5"/>
    <w:rsid w:val="00E97491"/>
    <w:rsid w:val="00EA2AEB"/>
    <w:rsid w:val="00EC763D"/>
    <w:rsid w:val="00ED0E90"/>
    <w:rsid w:val="00EE2315"/>
    <w:rsid w:val="00EF750F"/>
    <w:rsid w:val="00F1031C"/>
    <w:rsid w:val="00F22D50"/>
    <w:rsid w:val="00F25121"/>
    <w:rsid w:val="00F36A47"/>
    <w:rsid w:val="00F76083"/>
    <w:rsid w:val="00F84AA4"/>
    <w:rsid w:val="00F96562"/>
    <w:rsid w:val="00FA635A"/>
    <w:rsid w:val="00FC1CC8"/>
    <w:rsid w:val="00FD11BC"/>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22151"/>
  <w15:chartTrackingRefBased/>
  <w15:docId w15:val="{80C8D7F0-3D6E-45A2-9754-674100FB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7B02C8"/>
  </w:style>
  <w:style w:type="character" w:styleId="ae">
    <w:name w:val="annotation reference"/>
    <w:basedOn w:val="a0"/>
    <w:uiPriority w:val="99"/>
    <w:semiHidden/>
    <w:unhideWhenUsed/>
    <w:rsid w:val="007B02C8"/>
    <w:rPr>
      <w:sz w:val="18"/>
      <w:szCs w:val="18"/>
    </w:rPr>
  </w:style>
  <w:style w:type="paragraph" w:styleId="af">
    <w:name w:val="annotation text"/>
    <w:basedOn w:val="a"/>
    <w:link w:val="af0"/>
    <w:uiPriority w:val="99"/>
    <w:unhideWhenUsed/>
    <w:rsid w:val="007B02C8"/>
    <w:pPr>
      <w:jc w:val="left"/>
    </w:pPr>
  </w:style>
  <w:style w:type="character" w:customStyle="1" w:styleId="af0">
    <w:name w:val="コメント文字列 (文字)"/>
    <w:basedOn w:val="a0"/>
    <w:link w:val="af"/>
    <w:uiPriority w:val="99"/>
    <w:rsid w:val="007B02C8"/>
  </w:style>
  <w:style w:type="paragraph" w:styleId="af1">
    <w:name w:val="annotation subject"/>
    <w:basedOn w:val="af"/>
    <w:next w:val="af"/>
    <w:link w:val="af2"/>
    <w:uiPriority w:val="99"/>
    <w:semiHidden/>
    <w:unhideWhenUsed/>
    <w:rsid w:val="007B02C8"/>
    <w:rPr>
      <w:b/>
      <w:bCs/>
    </w:rPr>
  </w:style>
  <w:style w:type="character" w:customStyle="1" w:styleId="af2">
    <w:name w:val="コメント内容 (文字)"/>
    <w:basedOn w:val="af0"/>
    <w:link w:val="af1"/>
    <w:uiPriority w:val="99"/>
    <w:semiHidden/>
    <w:rsid w:val="007B0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68239091">
      <w:bodyDiv w:val="1"/>
      <w:marLeft w:val="0"/>
      <w:marRight w:val="0"/>
      <w:marTop w:val="0"/>
      <w:marBottom w:val="0"/>
      <w:divBdr>
        <w:top w:val="none" w:sz="0" w:space="0" w:color="auto"/>
        <w:left w:val="none" w:sz="0" w:space="0" w:color="auto"/>
        <w:bottom w:val="none" w:sz="0" w:space="0" w:color="auto"/>
        <w:right w:val="none" w:sz="0" w:space="0" w:color="auto"/>
      </w:divBdr>
      <w:divsChild>
        <w:div w:id="46533375">
          <w:marLeft w:val="274"/>
          <w:marRight w:val="0"/>
          <w:marTop w:val="120"/>
          <w:marBottom w:val="120"/>
          <w:divBdr>
            <w:top w:val="none" w:sz="0" w:space="0" w:color="auto"/>
            <w:left w:val="none" w:sz="0" w:space="0" w:color="auto"/>
            <w:bottom w:val="none" w:sz="0" w:space="0" w:color="auto"/>
            <w:right w:val="none" w:sz="0" w:space="0" w:color="auto"/>
          </w:divBdr>
        </w:div>
        <w:div w:id="306740027">
          <w:marLeft w:val="274"/>
          <w:marRight w:val="0"/>
          <w:marTop w:val="120"/>
          <w:marBottom w:val="120"/>
          <w:divBdr>
            <w:top w:val="none" w:sz="0" w:space="0" w:color="auto"/>
            <w:left w:val="none" w:sz="0" w:space="0" w:color="auto"/>
            <w:bottom w:val="none" w:sz="0" w:space="0" w:color="auto"/>
            <w:right w:val="none" w:sz="0" w:space="0" w:color="auto"/>
          </w:divBdr>
        </w:div>
        <w:div w:id="539754822">
          <w:marLeft w:val="274"/>
          <w:marRight w:val="0"/>
          <w:marTop w:val="120"/>
          <w:marBottom w:val="120"/>
          <w:divBdr>
            <w:top w:val="none" w:sz="0" w:space="0" w:color="auto"/>
            <w:left w:val="none" w:sz="0" w:space="0" w:color="auto"/>
            <w:bottom w:val="none" w:sz="0" w:space="0" w:color="auto"/>
            <w:right w:val="none" w:sz="0" w:space="0" w:color="auto"/>
          </w:divBdr>
        </w:div>
        <w:div w:id="890385845">
          <w:marLeft w:val="274"/>
          <w:marRight w:val="0"/>
          <w:marTop w:val="120"/>
          <w:marBottom w:val="120"/>
          <w:divBdr>
            <w:top w:val="none" w:sz="0" w:space="0" w:color="auto"/>
            <w:left w:val="none" w:sz="0" w:space="0" w:color="auto"/>
            <w:bottom w:val="none" w:sz="0" w:space="0" w:color="auto"/>
            <w:right w:val="none" w:sz="0" w:space="0" w:color="auto"/>
          </w:divBdr>
        </w:div>
        <w:div w:id="985403099">
          <w:marLeft w:val="446"/>
          <w:marRight w:val="0"/>
          <w:marTop w:val="120"/>
          <w:marBottom w:val="120"/>
          <w:divBdr>
            <w:top w:val="none" w:sz="0" w:space="0" w:color="auto"/>
            <w:left w:val="none" w:sz="0" w:space="0" w:color="auto"/>
            <w:bottom w:val="none" w:sz="0" w:space="0" w:color="auto"/>
            <w:right w:val="none" w:sz="0" w:space="0" w:color="auto"/>
          </w:divBdr>
        </w:div>
        <w:div w:id="1308045297">
          <w:marLeft w:val="274"/>
          <w:marRight w:val="0"/>
          <w:marTop w:val="120"/>
          <w:marBottom w:val="120"/>
          <w:divBdr>
            <w:top w:val="none" w:sz="0" w:space="0" w:color="auto"/>
            <w:left w:val="none" w:sz="0" w:space="0" w:color="auto"/>
            <w:bottom w:val="none" w:sz="0" w:space="0" w:color="auto"/>
            <w:right w:val="none" w:sz="0" w:space="0" w:color="auto"/>
          </w:divBdr>
        </w:div>
        <w:div w:id="2118133439">
          <w:marLeft w:val="446"/>
          <w:marRight w:val="0"/>
          <w:marTop w:val="120"/>
          <w:marBottom w:val="120"/>
          <w:divBdr>
            <w:top w:val="none" w:sz="0" w:space="0" w:color="auto"/>
            <w:left w:val="none" w:sz="0" w:space="0" w:color="auto"/>
            <w:bottom w:val="none" w:sz="0" w:space="0" w:color="auto"/>
            <w:right w:val="none" w:sz="0" w:space="0" w:color="auto"/>
          </w:divBdr>
        </w:div>
      </w:divsChild>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_x65e5__x4ed8__x3068__x6642__x523b_ xmlns="321e8871-1c24-4f8a-8f1d-b9016d52d4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1" ma:contentTypeDescription="新しいドキュメントを作成します。" ma:contentTypeScope="" ma:versionID="fe13b6b6c2ea0299752390032fdc820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a27c41911092a132a016a46fdbec37de"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purl.org/dc/elements/1.1/"/>
    <ds:schemaRef ds:uri="http://schemas.microsoft.com/office/2006/documentManagement/types"/>
    <ds:schemaRef ds:uri="http://schemas.microsoft.com/office/infopath/2007/PartnerControls"/>
    <ds:schemaRef ds:uri="8ee52e10-ab1a-4c94-9d82-ab5dbf513320"/>
    <ds:schemaRef ds:uri="http://schemas.openxmlformats.org/package/2006/metadata/core-properties"/>
    <ds:schemaRef ds:uri="http://purl.org/dc/terms/"/>
    <ds:schemaRef ds:uri="http://purl.org/dc/dcmitype/"/>
    <ds:schemaRef ds:uri="http://schemas.microsoft.com/office/2006/metadata/properties"/>
    <ds:schemaRef ds:uri="321e8871-1c24-4f8a-8f1d-b9016d52d4a3"/>
    <ds:schemaRef ds:uri="http://www.w3.org/XML/1998/namespace"/>
  </ds:schemaRefs>
</ds:datastoreItem>
</file>

<file path=customXml/itemProps4.xml><?xml version="1.0" encoding="utf-8"?>
<ds:datastoreItem xmlns:ds="http://schemas.openxmlformats.org/officeDocument/2006/customXml" ds:itemID="{A19ED214-78F6-45EE-92A0-D0DAF76E8258}"/>
</file>

<file path=docProps/app.xml><?xml version="1.0" encoding="utf-8"?>
<Properties xmlns="http://schemas.openxmlformats.org/officeDocument/2006/extended-properties" xmlns:vt="http://schemas.openxmlformats.org/officeDocument/2006/docPropsVTypes">
  <Template>Normal.dotm</Template>
  <TotalTime>125</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48</cp:revision>
  <cp:lastPrinted>2025-04-09T20:06:00Z</cp:lastPrinted>
  <dcterms:created xsi:type="dcterms:W3CDTF">2024-07-10T16:57:00Z</dcterms:created>
  <dcterms:modified xsi:type="dcterms:W3CDTF">2025-04-11T05:16:00Z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