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2" w:rsidRPr="00300356" w:rsidRDefault="00F06CF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300356">
        <w:rPr>
          <w:rFonts w:ascii="ＭＳ Ｐゴシック" w:eastAsia="ＭＳ Ｐゴシック" w:hAnsi="ＭＳ Ｐゴシック" w:hint="eastAsia"/>
          <w:b/>
          <w:sz w:val="28"/>
          <w:szCs w:val="28"/>
        </w:rPr>
        <w:t>使用の制限（有効期間等）</w:t>
      </w:r>
      <w:r w:rsidR="002B01B7" w:rsidRPr="00300356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</w:p>
    <w:p w:rsidR="002B01B7" w:rsidRPr="002B01B7" w:rsidRDefault="002B01B7" w:rsidP="002B01B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電気計器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は，検定に合格したもので，かつ，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検定</w:t>
      </w:r>
      <w:r w:rsidR="003003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証印等の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有効期間内のものでなければ取引や証明には使用できません。計量法の第16条（使用の制限）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では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，次のことが禁じられています。</w:t>
      </w:r>
    </w:p>
    <w:p w:rsidR="002B01B7" w:rsidRPr="002B01B7" w:rsidRDefault="002B01B7" w:rsidP="002B01B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検定証印</w:t>
      </w:r>
      <w:r w:rsidR="003003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等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が付されていないもの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使用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すること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2B01B7" w:rsidRPr="002B01B7" w:rsidRDefault="002B01B7" w:rsidP="002B01B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検定証印</w:t>
      </w:r>
      <w:r w:rsidR="0030035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等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の有効期間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が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経過したもの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使用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すること</w:t>
      </w: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。</w:t>
      </w:r>
    </w:p>
    <w:p w:rsidR="002B01B7" w:rsidRPr="002B01B7" w:rsidRDefault="002B01B7" w:rsidP="002B01B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B01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変成器とともに使用する電気計器の場合，同じ合番号が付されていない変成器とともに使用すること。</w:t>
      </w:r>
    </w:p>
    <w:p w:rsidR="002B01B7" w:rsidRDefault="002B01B7" w:rsidP="00DD41F3">
      <w:pPr>
        <w:rPr>
          <w:sz w:val="24"/>
          <w:szCs w:val="24"/>
        </w:rPr>
      </w:pPr>
    </w:p>
    <w:p w:rsidR="00DD41F3" w:rsidRPr="00300356" w:rsidRDefault="00300356" w:rsidP="00DD41F3">
      <w:pPr>
        <w:rPr>
          <w:rFonts w:ascii="ＭＳ Ｐゴシック" w:eastAsia="ＭＳ Ｐゴシック" w:hAnsi="ＭＳ Ｐゴシック"/>
          <w:sz w:val="24"/>
          <w:szCs w:val="24"/>
        </w:rPr>
      </w:pPr>
      <w:r w:rsidRPr="00300356">
        <w:rPr>
          <w:rFonts w:ascii="ＭＳ Ｐゴシック" w:eastAsia="ＭＳ Ｐゴシック" w:hAnsi="ＭＳ Ｐゴシック" w:hint="eastAsia"/>
          <w:sz w:val="24"/>
          <w:szCs w:val="24"/>
        </w:rPr>
        <w:t>検定証印等の</w:t>
      </w:r>
      <w:r w:rsidR="00DD41F3" w:rsidRPr="00300356">
        <w:rPr>
          <w:rFonts w:ascii="ＭＳ Ｐゴシック" w:eastAsia="ＭＳ Ｐゴシック" w:hAnsi="ＭＳ Ｐゴシック" w:hint="eastAsia"/>
          <w:sz w:val="24"/>
          <w:szCs w:val="24"/>
        </w:rPr>
        <w:t>有効期間は</w:t>
      </w:r>
      <w:r w:rsidRPr="00300356">
        <w:rPr>
          <w:rFonts w:ascii="ＭＳ Ｐゴシック" w:eastAsia="ＭＳ Ｐゴシック" w:hAnsi="ＭＳ Ｐゴシック" w:hint="eastAsia"/>
          <w:sz w:val="24"/>
          <w:szCs w:val="24"/>
        </w:rPr>
        <w:t>電気計器に</w:t>
      </w:r>
      <w:r w:rsidR="002B01B7" w:rsidRPr="00300356">
        <w:rPr>
          <w:rFonts w:ascii="ＭＳ Ｐゴシック" w:eastAsia="ＭＳ Ｐゴシック" w:hAnsi="ＭＳ Ｐゴシック" w:hint="eastAsia"/>
          <w:sz w:val="24"/>
          <w:szCs w:val="24"/>
        </w:rPr>
        <w:t>よって次のように規定されています</w:t>
      </w:r>
      <w:r w:rsidR="00DD41F3" w:rsidRPr="0030035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257DD6" w:rsidRPr="00257DD6" w:rsidRDefault="00257DD6" w:rsidP="00300356">
      <w:pPr>
        <w:widowControl/>
        <w:spacing w:before="63" w:after="63"/>
        <w:ind w:firstLineChars="300" w:firstLine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１．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電力量計 </w:t>
      </w:r>
    </w:p>
    <w:p w:rsidR="00257DD6" w:rsidRDefault="00257DD6" w:rsidP="00257DD6">
      <w:pPr>
        <w:widowControl/>
        <w:spacing w:before="63" w:after="63"/>
        <w:ind w:left="10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イ．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定格電圧が300V以下の電力量計・・・10年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（変成器と共に使用されるもの及び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ロ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（2）に掲げるものを除く）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</w:p>
    <w:p w:rsidR="00257DD6" w:rsidRDefault="00257DD6" w:rsidP="00257DD6">
      <w:pPr>
        <w:widowControl/>
        <w:spacing w:before="63" w:after="63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        ロ．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定格電圧が300V以下の電力量計のうち、次に掲げるもの・・・7年 </w:t>
      </w:r>
    </w:p>
    <w:p w:rsidR="0061443F" w:rsidRDefault="0061443F" w:rsidP="0061443F">
      <w:pPr>
        <w:widowControl/>
        <w:spacing w:before="63" w:after="63"/>
        <w:ind w:leftChars="-600" w:left="-30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（１）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定格一次電流が120A以下の変流器と共に使用されるもの</w:t>
      </w:r>
    </w:p>
    <w:p w:rsidR="0061443F" w:rsidRDefault="0061443F" w:rsidP="0061443F">
      <w:pPr>
        <w:widowControl/>
        <w:spacing w:before="63" w:after="63"/>
        <w:ind w:leftChars="-600" w:left="-30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（定格一次電圧が300Vを超える変圧器と共に使用されるものを除く）</w:t>
      </w:r>
    </w:p>
    <w:p w:rsidR="0061443F" w:rsidRDefault="0061443F" w:rsidP="0061443F">
      <w:pPr>
        <w:widowControl/>
        <w:spacing w:before="63" w:after="63"/>
        <w:ind w:leftChars="-143" w:left="-300" w:firstLineChars="6" w:firstLine="14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（２）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定格電流が20A又は60Aのもの（電子式のものを除く）</w:t>
      </w:r>
    </w:p>
    <w:p w:rsidR="0061443F" w:rsidRPr="00257DD6" w:rsidRDefault="0061443F" w:rsidP="0061443F">
      <w:pPr>
        <w:widowControl/>
        <w:spacing w:before="63" w:after="63"/>
        <w:ind w:leftChars="-143" w:left="-300" w:firstLineChars="6" w:firstLine="14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（３）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電子式のもの（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イ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及び（1）に掲げるものを除く）</w:t>
      </w:r>
    </w:p>
    <w:p w:rsidR="00257DD6" w:rsidRPr="00257DD6" w:rsidRDefault="00257DD6" w:rsidP="0061443F">
      <w:pPr>
        <w:widowControl/>
        <w:spacing w:before="63" w:after="63"/>
        <w:ind w:firstLineChars="450" w:firstLine="10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ハ．イ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又は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ロ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に掲げるもの以外のもの・・・5年 </w:t>
      </w:r>
    </w:p>
    <w:p w:rsidR="00257DD6" w:rsidRPr="00257DD6" w:rsidRDefault="00257DD6" w:rsidP="00257DD6">
      <w:pPr>
        <w:widowControl/>
        <w:spacing w:before="63" w:after="63"/>
        <w:ind w:left="7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57DD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．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最大需要電力計・・・5年（ただし、電子式のものは7年） </w:t>
      </w:r>
    </w:p>
    <w:p w:rsidR="00257DD6" w:rsidRPr="00257DD6" w:rsidRDefault="00257DD6" w:rsidP="00257DD6">
      <w:pPr>
        <w:widowControl/>
        <w:spacing w:before="63"/>
        <w:ind w:left="7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３．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無効電力量計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 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・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・・</w:t>
      </w:r>
      <w:r w:rsidRPr="00257DD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5年（ただし、電子式のものは7年） </w:t>
      </w:r>
    </w:p>
    <w:p w:rsidR="00F06CF2" w:rsidRPr="00257DD6" w:rsidRDefault="00F06CF2" w:rsidP="00257DD6">
      <w:pPr>
        <w:rPr>
          <w:sz w:val="24"/>
          <w:szCs w:val="24"/>
        </w:rPr>
      </w:pPr>
    </w:p>
    <w:sectPr w:rsidR="00F06CF2" w:rsidRPr="00257DD6" w:rsidSect="0051247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AF7" w:rsidRDefault="00831AF7" w:rsidP="001D602D">
      <w:r>
        <w:separator/>
      </w:r>
    </w:p>
  </w:endnote>
  <w:endnote w:type="continuationSeparator" w:id="0">
    <w:p w:rsidR="00831AF7" w:rsidRDefault="00831AF7" w:rsidP="001D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AF7" w:rsidRDefault="00831AF7" w:rsidP="001D602D">
      <w:r>
        <w:separator/>
      </w:r>
    </w:p>
  </w:footnote>
  <w:footnote w:type="continuationSeparator" w:id="0">
    <w:p w:rsidR="00831AF7" w:rsidRDefault="00831AF7" w:rsidP="001D6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09D"/>
    <w:multiLevelType w:val="multilevel"/>
    <w:tmpl w:val="7354B7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upperLetter"/>
      <w:lvlText w:val="%2."/>
      <w:lvlJc w:val="left"/>
      <w:pPr>
        <w:tabs>
          <w:tab w:val="num" w:pos="1845"/>
        </w:tabs>
        <w:ind w:left="1845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DC218CB"/>
    <w:multiLevelType w:val="multilevel"/>
    <w:tmpl w:val="9862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26F"/>
    <w:rsid w:val="0003301E"/>
    <w:rsid w:val="0009372B"/>
    <w:rsid w:val="001121B3"/>
    <w:rsid w:val="0011722B"/>
    <w:rsid w:val="001653D9"/>
    <w:rsid w:val="001D602D"/>
    <w:rsid w:val="002409E6"/>
    <w:rsid w:val="00257DD6"/>
    <w:rsid w:val="002B01B7"/>
    <w:rsid w:val="00300356"/>
    <w:rsid w:val="0033311C"/>
    <w:rsid w:val="003523EB"/>
    <w:rsid w:val="00476298"/>
    <w:rsid w:val="0051247F"/>
    <w:rsid w:val="0061443F"/>
    <w:rsid w:val="006B3E4B"/>
    <w:rsid w:val="006F3819"/>
    <w:rsid w:val="00813A10"/>
    <w:rsid w:val="00831AF7"/>
    <w:rsid w:val="0084420F"/>
    <w:rsid w:val="008517DC"/>
    <w:rsid w:val="008648AC"/>
    <w:rsid w:val="00A830D4"/>
    <w:rsid w:val="00A84F0E"/>
    <w:rsid w:val="00B60209"/>
    <w:rsid w:val="00C709BA"/>
    <w:rsid w:val="00D861E3"/>
    <w:rsid w:val="00D87AD8"/>
    <w:rsid w:val="00DD41F3"/>
    <w:rsid w:val="00DE46FC"/>
    <w:rsid w:val="00DE5FF6"/>
    <w:rsid w:val="00E04ED9"/>
    <w:rsid w:val="00E4326F"/>
    <w:rsid w:val="00F06CF2"/>
    <w:rsid w:val="00FC5712"/>
    <w:rsid w:val="00FC75C9"/>
    <w:rsid w:val="00FD6202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semiHidden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paragraph" w:customStyle="1" w:styleId="stntx01-mgb10">
    <w:name w:val="stntx01-mgb10"/>
    <w:basedOn w:val="a"/>
    <w:rsid w:val="002B0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4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9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71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8370">
          <w:marLeft w:val="600"/>
          <w:marRight w:val="6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C983-C1B5-4FB3-8DF5-EE721BFF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情報システム厚生課</cp:lastModifiedBy>
  <cp:revision>3</cp:revision>
  <cp:lastPrinted>2012-03-08T12:02:00Z</cp:lastPrinted>
  <dcterms:created xsi:type="dcterms:W3CDTF">2012-03-16T10:16:00Z</dcterms:created>
  <dcterms:modified xsi:type="dcterms:W3CDTF">2012-03-16T10:24:00Z</dcterms:modified>
</cp:coreProperties>
</file>