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77CD" w14:textId="7D4A05C0" w:rsidR="006A7FBF" w:rsidRPr="00FB2436" w:rsidRDefault="00D076AB" w:rsidP="006A7FBF">
      <w:pPr>
        <w:rPr>
          <w:rFonts w:ascii="ＭＳ 明朝" w:eastAsia="ＭＳ 明朝" w:hAnsi="ＭＳ 明朝"/>
          <w:szCs w:val="21"/>
        </w:rPr>
      </w:pPr>
      <w:r w:rsidRPr="00FB2436">
        <w:rPr>
          <w:rFonts w:ascii="ＭＳ 明朝" w:eastAsia="ＭＳ 明朝" w:hAnsi="ＭＳ 明朝" w:hint="eastAsia"/>
          <w:szCs w:val="21"/>
        </w:rPr>
        <w:t>様式第31の３の</w:t>
      </w:r>
      <w:r w:rsidR="009217FB" w:rsidRPr="00FB2436">
        <w:rPr>
          <w:rFonts w:ascii="ＭＳ 明朝" w:eastAsia="ＭＳ 明朝" w:hAnsi="ＭＳ 明朝" w:hint="eastAsia"/>
          <w:szCs w:val="21"/>
        </w:rPr>
        <w:t>９</w:t>
      </w:r>
      <w:r w:rsidRPr="00FB2436">
        <w:rPr>
          <w:rFonts w:ascii="ＭＳ 明朝" w:eastAsia="ＭＳ 明朝" w:hAnsi="ＭＳ 明朝" w:hint="eastAsia"/>
          <w:szCs w:val="21"/>
        </w:rPr>
        <w:t>（第45</w:t>
      </w:r>
      <w:r w:rsidR="006A7FBF" w:rsidRPr="00FB2436">
        <w:rPr>
          <w:rFonts w:ascii="ＭＳ 明朝" w:eastAsia="ＭＳ 明朝" w:hAnsi="ＭＳ 明朝" w:hint="eastAsia"/>
          <w:szCs w:val="21"/>
        </w:rPr>
        <w:t>条</w:t>
      </w:r>
      <w:r w:rsidRPr="00FB2436">
        <w:rPr>
          <w:rFonts w:ascii="ＭＳ 明朝" w:eastAsia="ＭＳ 明朝" w:hAnsi="ＭＳ 明朝" w:hint="eastAsia"/>
          <w:szCs w:val="21"/>
        </w:rPr>
        <w:t>の</w:t>
      </w:r>
      <w:r w:rsidR="009217FB" w:rsidRPr="00FB2436">
        <w:rPr>
          <w:rFonts w:ascii="ＭＳ 明朝" w:eastAsia="ＭＳ 明朝" w:hAnsi="ＭＳ 明朝" w:hint="eastAsia"/>
          <w:szCs w:val="21"/>
        </w:rPr>
        <w:t>７</w:t>
      </w:r>
      <w:r w:rsidR="006A7FBF" w:rsidRPr="00FB2436">
        <w:rPr>
          <w:rFonts w:ascii="ＭＳ 明朝" w:eastAsia="ＭＳ 明朝" w:hAnsi="ＭＳ 明朝" w:hint="eastAsia"/>
          <w:szCs w:val="21"/>
        </w:rPr>
        <w:t>関係）</w:t>
      </w:r>
    </w:p>
    <w:p w14:paraId="7E52BBC6" w14:textId="77777777" w:rsidR="006A7FBF" w:rsidRPr="00734070" w:rsidRDefault="006A7FBF" w:rsidP="006A7FBF">
      <w:pPr>
        <w:rPr>
          <w:szCs w:val="21"/>
        </w:rPr>
      </w:pPr>
    </w:p>
    <w:p w14:paraId="46FAA5FF" w14:textId="3911E3C4" w:rsidR="006A7FBF" w:rsidRPr="00734070" w:rsidRDefault="009217FB" w:rsidP="006A7FBF">
      <w:pPr>
        <w:jc w:val="center"/>
        <w:rPr>
          <w:szCs w:val="21"/>
        </w:rPr>
      </w:pPr>
      <w:r>
        <w:rPr>
          <w:rFonts w:hint="eastAsia"/>
          <w:szCs w:val="21"/>
        </w:rPr>
        <w:t>引継計画</w:t>
      </w:r>
    </w:p>
    <w:p w14:paraId="18BF0646" w14:textId="77777777" w:rsidR="006A7FBF" w:rsidRPr="00734070" w:rsidRDefault="006A7FBF" w:rsidP="006A7FBF">
      <w:pPr>
        <w:jc w:val="center"/>
        <w:rPr>
          <w:szCs w:val="21"/>
        </w:rPr>
      </w:pPr>
    </w:p>
    <w:p w14:paraId="558440AA" w14:textId="6B165D28" w:rsidR="00E70C1F" w:rsidRDefault="00E70C1F" w:rsidP="00E70C1F">
      <w:pPr>
        <w:jc w:val="left"/>
        <w:rPr>
          <w:szCs w:val="21"/>
        </w:rPr>
      </w:pPr>
      <w:r>
        <w:rPr>
          <w:rFonts w:hint="eastAsia"/>
          <w:szCs w:val="21"/>
        </w:rPr>
        <w:t>１　引継計画を共同で作成した者</w:t>
      </w:r>
    </w:p>
    <w:p w14:paraId="19985C9B" w14:textId="2B6E6FED" w:rsidR="00E70C1F" w:rsidRDefault="00E70C1F" w:rsidP="00E70C1F">
      <w:pPr>
        <w:ind w:left="210" w:hangingChars="100" w:hanging="210"/>
        <w:jc w:val="left"/>
        <w:rPr>
          <w:szCs w:val="21"/>
        </w:rPr>
      </w:pPr>
      <w:r>
        <w:rPr>
          <w:rFonts w:hint="eastAsia"/>
          <w:szCs w:val="21"/>
        </w:rPr>
        <w:t>２　引継開始予定年月日</w:t>
      </w:r>
    </w:p>
    <w:p w14:paraId="46C8B0C9" w14:textId="009C1CF9" w:rsidR="00DD29D3" w:rsidRDefault="00DD29D3" w:rsidP="00E70C1F">
      <w:pPr>
        <w:ind w:left="210" w:hangingChars="100" w:hanging="210"/>
        <w:jc w:val="left"/>
        <w:rPr>
          <w:szCs w:val="21"/>
        </w:rPr>
      </w:pPr>
      <w:r>
        <w:rPr>
          <w:rFonts w:hint="eastAsia"/>
          <w:szCs w:val="21"/>
        </w:rPr>
        <w:t>３　電気工作物の引継</w:t>
      </w:r>
      <w:r w:rsidR="008E5F8B">
        <w:rPr>
          <w:rFonts w:hint="eastAsia"/>
          <w:szCs w:val="21"/>
        </w:rPr>
        <w:t>ぎ</w:t>
      </w:r>
      <w:r>
        <w:rPr>
          <w:rFonts w:hint="eastAsia"/>
          <w:szCs w:val="21"/>
        </w:rPr>
        <w:t>に関する事項</w:t>
      </w:r>
    </w:p>
    <w:p w14:paraId="0B9626AE" w14:textId="3DC2F302" w:rsidR="00DD29D3" w:rsidRPr="00A57BC2" w:rsidRDefault="00A57BC2" w:rsidP="00A57BC2">
      <w:pPr>
        <w:pStyle w:val="af3"/>
        <w:numPr>
          <w:ilvl w:val="0"/>
          <w:numId w:val="6"/>
        </w:numPr>
        <w:ind w:leftChars="0"/>
        <w:jc w:val="left"/>
        <w:rPr>
          <w:szCs w:val="21"/>
        </w:rPr>
      </w:pPr>
      <w:r w:rsidRPr="00A57BC2">
        <w:rPr>
          <w:rFonts w:hint="eastAsia"/>
          <w:szCs w:val="21"/>
        </w:rPr>
        <w:t>譲り受け、又は借り受けた電気工作物の概要</w:t>
      </w:r>
    </w:p>
    <w:p w14:paraId="765F36B7" w14:textId="4C0EF6DD" w:rsidR="00A57BC2" w:rsidRDefault="00A57BC2" w:rsidP="00A57BC2">
      <w:pPr>
        <w:pStyle w:val="af3"/>
        <w:numPr>
          <w:ilvl w:val="0"/>
          <w:numId w:val="6"/>
        </w:numPr>
        <w:ind w:leftChars="0"/>
        <w:jc w:val="left"/>
        <w:rPr>
          <w:szCs w:val="21"/>
        </w:rPr>
      </w:pPr>
      <w:r>
        <w:rPr>
          <w:rFonts w:hint="eastAsia"/>
          <w:szCs w:val="21"/>
        </w:rPr>
        <w:t>電気工作物やその情報等の引継ぎ方法</w:t>
      </w:r>
    </w:p>
    <w:p w14:paraId="75216495" w14:textId="6C5B4F64" w:rsidR="00F11E12" w:rsidRDefault="00F11E12" w:rsidP="00A57BC2">
      <w:pPr>
        <w:pStyle w:val="af3"/>
        <w:numPr>
          <w:ilvl w:val="0"/>
          <w:numId w:val="6"/>
        </w:numPr>
        <w:ind w:leftChars="0"/>
        <w:jc w:val="left"/>
        <w:rPr>
          <w:szCs w:val="21"/>
        </w:rPr>
      </w:pPr>
      <w:r>
        <w:rPr>
          <w:rFonts w:hint="eastAsia"/>
          <w:szCs w:val="21"/>
        </w:rPr>
        <w:t>電気工作物の維持・運用方法</w:t>
      </w:r>
    </w:p>
    <w:p w14:paraId="5CB8C881" w14:textId="7FB5B030" w:rsidR="00A57BC2" w:rsidRDefault="00A57BC2" w:rsidP="00A57BC2">
      <w:pPr>
        <w:jc w:val="left"/>
        <w:rPr>
          <w:szCs w:val="21"/>
        </w:rPr>
      </w:pPr>
      <w:r>
        <w:rPr>
          <w:rFonts w:hint="eastAsia"/>
          <w:szCs w:val="21"/>
        </w:rPr>
        <w:t>４　託送供給等</w:t>
      </w:r>
      <w:r w:rsidR="00DA5294">
        <w:rPr>
          <w:rFonts w:hint="eastAsia"/>
          <w:szCs w:val="21"/>
        </w:rPr>
        <w:t>業</w:t>
      </w:r>
      <w:r>
        <w:rPr>
          <w:rFonts w:hint="eastAsia"/>
          <w:szCs w:val="21"/>
        </w:rPr>
        <w:t>務の引継ぎに関する事項</w:t>
      </w:r>
    </w:p>
    <w:p w14:paraId="02D95944" w14:textId="59764AA0" w:rsidR="00A57BC2" w:rsidRPr="00F11E12" w:rsidRDefault="00F11E12" w:rsidP="00F11E12">
      <w:pPr>
        <w:pStyle w:val="af3"/>
        <w:numPr>
          <w:ilvl w:val="0"/>
          <w:numId w:val="7"/>
        </w:numPr>
        <w:ind w:leftChars="0"/>
        <w:jc w:val="left"/>
        <w:rPr>
          <w:szCs w:val="21"/>
        </w:rPr>
      </w:pPr>
      <w:r>
        <w:rPr>
          <w:rFonts w:hint="eastAsia"/>
          <w:szCs w:val="21"/>
        </w:rPr>
        <w:t>引継ぐ</w:t>
      </w:r>
      <w:r w:rsidRPr="00F11E12">
        <w:rPr>
          <w:rFonts w:hint="eastAsia"/>
          <w:szCs w:val="21"/>
        </w:rPr>
        <w:t>託送供給等業務</w:t>
      </w:r>
      <w:r>
        <w:rPr>
          <w:rFonts w:hint="eastAsia"/>
          <w:szCs w:val="21"/>
        </w:rPr>
        <w:t>の内容</w:t>
      </w:r>
      <w:r w:rsidR="000B1841">
        <w:rPr>
          <w:rFonts w:hint="eastAsia"/>
          <w:szCs w:val="21"/>
        </w:rPr>
        <w:t>及び</w:t>
      </w:r>
      <w:r>
        <w:rPr>
          <w:rFonts w:hint="eastAsia"/>
          <w:szCs w:val="21"/>
        </w:rPr>
        <w:t>引継ぎ</w:t>
      </w:r>
      <w:r w:rsidRPr="00F11E12">
        <w:rPr>
          <w:rFonts w:hint="eastAsia"/>
          <w:szCs w:val="21"/>
        </w:rPr>
        <w:t>方法</w:t>
      </w:r>
    </w:p>
    <w:p w14:paraId="5F8323D3" w14:textId="2A19B5E4" w:rsidR="00F11E12" w:rsidRDefault="00F11E12" w:rsidP="00F11E12">
      <w:pPr>
        <w:pStyle w:val="af3"/>
        <w:numPr>
          <w:ilvl w:val="0"/>
          <w:numId w:val="7"/>
        </w:numPr>
        <w:ind w:leftChars="0"/>
        <w:jc w:val="left"/>
        <w:rPr>
          <w:szCs w:val="21"/>
        </w:rPr>
      </w:pPr>
      <w:r w:rsidRPr="00F11E12">
        <w:rPr>
          <w:rFonts w:hint="eastAsia"/>
          <w:szCs w:val="21"/>
        </w:rPr>
        <w:t>災害その他の事由による事故により電気の安定供給の確保に支障が生ずる場合に備えるための</w:t>
      </w:r>
      <w:r w:rsidR="00EE594F">
        <w:rPr>
          <w:rFonts w:hint="eastAsia"/>
          <w:szCs w:val="21"/>
        </w:rPr>
        <w:t>措置</w:t>
      </w:r>
      <w:r>
        <w:rPr>
          <w:rFonts w:hint="eastAsia"/>
          <w:szCs w:val="21"/>
        </w:rPr>
        <w:t>と引継ぎ方法</w:t>
      </w:r>
    </w:p>
    <w:p w14:paraId="19C45B0F" w14:textId="2DDD948E" w:rsidR="006C66DF" w:rsidRDefault="006C66DF" w:rsidP="00F11E12">
      <w:pPr>
        <w:pStyle w:val="af3"/>
        <w:numPr>
          <w:ilvl w:val="0"/>
          <w:numId w:val="7"/>
        </w:numPr>
        <w:ind w:leftChars="0"/>
        <w:jc w:val="left"/>
        <w:rPr>
          <w:szCs w:val="21"/>
        </w:rPr>
      </w:pPr>
      <w:r>
        <w:rPr>
          <w:rFonts w:hint="eastAsia"/>
          <w:szCs w:val="21"/>
        </w:rPr>
        <w:t>保安上の責任主体や責任分担</w:t>
      </w:r>
    </w:p>
    <w:p w14:paraId="2898D5B1" w14:textId="64689893" w:rsidR="00203211" w:rsidRDefault="00203211" w:rsidP="00203211">
      <w:pPr>
        <w:pStyle w:val="af3"/>
        <w:numPr>
          <w:ilvl w:val="0"/>
          <w:numId w:val="7"/>
        </w:numPr>
        <w:ind w:leftChars="0"/>
        <w:jc w:val="left"/>
        <w:rPr>
          <w:szCs w:val="21"/>
        </w:rPr>
      </w:pPr>
      <w:r w:rsidRPr="00203211">
        <w:rPr>
          <w:rFonts w:hint="eastAsia"/>
          <w:szCs w:val="21"/>
        </w:rPr>
        <w:t>個人情報保護の実施体制及び個人情報保護に係る業務の引継ぎ方法</w:t>
      </w:r>
    </w:p>
    <w:p w14:paraId="474176AB" w14:textId="16ED25A7" w:rsidR="00220303" w:rsidRDefault="00220303" w:rsidP="00220303">
      <w:pPr>
        <w:jc w:val="left"/>
        <w:rPr>
          <w:szCs w:val="21"/>
        </w:rPr>
      </w:pPr>
      <w:r>
        <w:rPr>
          <w:rFonts w:hint="eastAsia"/>
          <w:szCs w:val="21"/>
        </w:rPr>
        <w:t xml:space="preserve">５　</w:t>
      </w:r>
      <w:r w:rsidRPr="00220303">
        <w:rPr>
          <w:rFonts w:hint="eastAsia"/>
          <w:szCs w:val="21"/>
        </w:rPr>
        <w:t>譲り受け、又は借り受けた電気工作物の譲受価格若しくは</w:t>
      </w:r>
      <w:proofErr w:type="gramStart"/>
      <w:r w:rsidRPr="00220303">
        <w:rPr>
          <w:rFonts w:hint="eastAsia"/>
          <w:szCs w:val="21"/>
        </w:rPr>
        <w:t>借受</w:t>
      </w:r>
      <w:proofErr w:type="gramEnd"/>
      <w:r w:rsidRPr="00220303">
        <w:rPr>
          <w:rFonts w:hint="eastAsia"/>
          <w:szCs w:val="21"/>
        </w:rPr>
        <w:t>価格</w:t>
      </w:r>
      <w:r>
        <w:rPr>
          <w:rFonts w:hint="eastAsia"/>
          <w:szCs w:val="21"/>
        </w:rPr>
        <w:t>に関する事項</w:t>
      </w:r>
    </w:p>
    <w:p w14:paraId="22CA3FFA" w14:textId="3763B688" w:rsidR="00220303" w:rsidRPr="00220303" w:rsidRDefault="00220303" w:rsidP="00220303">
      <w:pPr>
        <w:pStyle w:val="af3"/>
        <w:numPr>
          <w:ilvl w:val="0"/>
          <w:numId w:val="8"/>
        </w:numPr>
        <w:ind w:leftChars="0"/>
        <w:jc w:val="left"/>
        <w:rPr>
          <w:szCs w:val="21"/>
        </w:rPr>
      </w:pPr>
      <w:r w:rsidRPr="00220303">
        <w:rPr>
          <w:rFonts w:hint="eastAsia"/>
          <w:szCs w:val="21"/>
        </w:rPr>
        <w:t>譲受価格</w:t>
      </w:r>
      <w:r w:rsidR="00FB2436">
        <w:rPr>
          <w:rFonts w:hint="eastAsia"/>
          <w:szCs w:val="21"/>
        </w:rPr>
        <w:t>又</w:t>
      </w:r>
      <w:r w:rsidRPr="00220303">
        <w:rPr>
          <w:rFonts w:hint="eastAsia"/>
          <w:szCs w:val="21"/>
        </w:rPr>
        <w:t>は</w:t>
      </w:r>
      <w:proofErr w:type="gramStart"/>
      <w:r w:rsidRPr="00220303">
        <w:rPr>
          <w:rFonts w:hint="eastAsia"/>
          <w:szCs w:val="21"/>
        </w:rPr>
        <w:t>借受</w:t>
      </w:r>
      <w:proofErr w:type="gramEnd"/>
      <w:r w:rsidRPr="00220303">
        <w:rPr>
          <w:rFonts w:hint="eastAsia"/>
          <w:szCs w:val="21"/>
        </w:rPr>
        <w:t>価格の総額</w:t>
      </w:r>
    </w:p>
    <w:p w14:paraId="755E0EE9" w14:textId="3C691DF4" w:rsidR="00220303" w:rsidRDefault="00220303" w:rsidP="00220303">
      <w:pPr>
        <w:pStyle w:val="af3"/>
        <w:numPr>
          <w:ilvl w:val="0"/>
          <w:numId w:val="8"/>
        </w:numPr>
        <w:ind w:leftChars="0"/>
        <w:jc w:val="left"/>
        <w:rPr>
          <w:szCs w:val="21"/>
        </w:rPr>
      </w:pPr>
      <w:r>
        <w:rPr>
          <w:rFonts w:hint="eastAsia"/>
          <w:szCs w:val="21"/>
        </w:rPr>
        <w:t>公益的費用の単価又は額</w:t>
      </w:r>
    </w:p>
    <w:p w14:paraId="27AEE4B8" w14:textId="484C93FD" w:rsidR="00C90EB6" w:rsidRDefault="00885B88" w:rsidP="00220303">
      <w:pPr>
        <w:pStyle w:val="af3"/>
        <w:numPr>
          <w:ilvl w:val="0"/>
          <w:numId w:val="8"/>
        </w:numPr>
        <w:ind w:leftChars="0"/>
        <w:jc w:val="left"/>
        <w:rPr>
          <w:szCs w:val="21"/>
        </w:rPr>
      </w:pPr>
      <w:r>
        <w:rPr>
          <w:rFonts w:hint="eastAsia"/>
          <w:szCs w:val="21"/>
        </w:rPr>
        <w:t>供給区域の</w:t>
      </w:r>
      <w:r w:rsidR="00F0295A">
        <w:rPr>
          <w:rFonts w:hint="eastAsia"/>
          <w:szCs w:val="21"/>
        </w:rPr>
        <w:t>発電及び需要に関する情報</w:t>
      </w:r>
    </w:p>
    <w:p w14:paraId="7F4584A7" w14:textId="075E5CEC" w:rsidR="00220303" w:rsidRDefault="00220303" w:rsidP="00220303">
      <w:pPr>
        <w:pStyle w:val="af3"/>
        <w:numPr>
          <w:ilvl w:val="0"/>
          <w:numId w:val="8"/>
        </w:numPr>
        <w:ind w:leftChars="0"/>
        <w:jc w:val="left"/>
        <w:rPr>
          <w:szCs w:val="21"/>
        </w:rPr>
      </w:pPr>
      <w:r>
        <w:rPr>
          <w:rFonts w:hint="eastAsia"/>
          <w:szCs w:val="21"/>
        </w:rPr>
        <w:t>譲受価格</w:t>
      </w:r>
      <w:r w:rsidR="00FB2436">
        <w:rPr>
          <w:rFonts w:hint="eastAsia"/>
          <w:szCs w:val="21"/>
        </w:rPr>
        <w:t>又</w:t>
      </w:r>
      <w:r>
        <w:rPr>
          <w:rFonts w:hint="eastAsia"/>
          <w:szCs w:val="21"/>
        </w:rPr>
        <w:t>は</w:t>
      </w:r>
      <w:proofErr w:type="gramStart"/>
      <w:r>
        <w:rPr>
          <w:rFonts w:hint="eastAsia"/>
          <w:szCs w:val="21"/>
        </w:rPr>
        <w:t>借受</w:t>
      </w:r>
      <w:proofErr w:type="gramEnd"/>
      <w:r>
        <w:rPr>
          <w:rFonts w:hint="eastAsia"/>
          <w:szCs w:val="21"/>
        </w:rPr>
        <w:t>価格の</w:t>
      </w:r>
      <w:r w:rsidR="007449DD">
        <w:rPr>
          <w:rFonts w:hint="eastAsia"/>
          <w:szCs w:val="21"/>
        </w:rPr>
        <w:t>算定期間</w:t>
      </w:r>
    </w:p>
    <w:p w14:paraId="01B99C54" w14:textId="4A1F7139" w:rsidR="00F0295A" w:rsidRDefault="007449DD" w:rsidP="007760AE">
      <w:pPr>
        <w:pStyle w:val="af3"/>
        <w:numPr>
          <w:ilvl w:val="0"/>
          <w:numId w:val="8"/>
        </w:numPr>
        <w:ind w:leftChars="0"/>
        <w:jc w:val="left"/>
        <w:rPr>
          <w:szCs w:val="21"/>
        </w:rPr>
      </w:pPr>
      <w:r>
        <w:rPr>
          <w:rFonts w:hint="eastAsia"/>
          <w:szCs w:val="21"/>
        </w:rPr>
        <w:t>譲受価格</w:t>
      </w:r>
      <w:r w:rsidR="00FB2436">
        <w:rPr>
          <w:rFonts w:hint="eastAsia"/>
          <w:szCs w:val="21"/>
        </w:rPr>
        <w:t>又</w:t>
      </w:r>
      <w:r>
        <w:rPr>
          <w:rFonts w:hint="eastAsia"/>
          <w:szCs w:val="21"/>
        </w:rPr>
        <w:t>は</w:t>
      </w:r>
      <w:proofErr w:type="gramStart"/>
      <w:r>
        <w:rPr>
          <w:rFonts w:hint="eastAsia"/>
          <w:szCs w:val="21"/>
        </w:rPr>
        <w:t>借受</w:t>
      </w:r>
      <w:proofErr w:type="gramEnd"/>
      <w:r>
        <w:rPr>
          <w:rFonts w:hint="eastAsia"/>
          <w:szCs w:val="21"/>
        </w:rPr>
        <w:t>価格の算定方法</w:t>
      </w:r>
    </w:p>
    <w:p w14:paraId="184F4DB8" w14:textId="334766FB" w:rsidR="007760AE" w:rsidRPr="007760AE" w:rsidRDefault="007760AE" w:rsidP="007760AE">
      <w:pPr>
        <w:pStyle w:val="af3"/>
        <w:numPr>
          <w:ilvl w:val="0"/>
          <w:numId w:val="8"/>
        </w:numPr>
        <w:ind w:leftChars="0"/>
        <w:jc w:val="left"/>
        <w:rPr>
          <w:szCs w:val="21"/>
        </w:rPr>
      </w:pPr>
      <w:r>
        <w:rPr>
          <w:rFonts w:hint="eastAsia"/>
          <w:szCs w:val="21"/>
        </w:rPr>
        <w:t>譲受価格</w:t>
      </w:r>
      <w:r w:rsidR="00FB2436">
        <w:rPr>
          <w:rFonts w:hint="eastAsia"/>
          <w:szCs w:val="21"/>
        </w:rPr>
        <w:t>又</w:t>
      </w:r>
      <w:r>
        <w:rPr>
          <w:rFonts w:hint="eastAsia"/>
          <w:szCs w:val="21"/>
        </w:rPr>
        <w:t>は</w:t>
      </w:r>
      <w:proofErr w:type="gramStart"/>
      <w:r>
        <w:rPr>
          <w:rFonts w:hint="eastAsia"/>
          <w:szCs w:val="21"/>
        </w:rPr>
        <w:t>借受</w:t>
      </w:r>
      <w:proofErr w:type="gramEnd"/>
      <w:r>
        <w:rPr>
          <w:rFonts w:hint="eastAsia"/>
          <w:szCs w:val="21"/>
        </w:rPr>
        <w:t>価格の算定に当たって用いた想定値と実績値の差の取扱い</w:t>
      </w:r>
    </w:p>
    <w:p w14:paraId="545F2B4A" w14:textId="3DDC6077" w:rsidR="007449DD" w:rsidRDefault="007449DD" w:rsidP="007449DD">
      <w:pPr>
        <w:pStyle w:val="af3"/>
        <w:numPr>
          <w:ilvl w:val="0"/>
          <w:numId w:val="8"/>
        </w:numPr>
        <w:ind w:leftChars="0"/>
        <w:jc w:val="left"/>
        <w:rPr>
          <w:szCs w:val="21"/>
        </w:rPr>
      </w:pPr>
      <w:r>
        <w:rPr>
          <w:rFonts w:hint="eastAsia"/>
          <w:szCs w:val="21"/>
        </w:rPr>
        <w:t>配電事業者による効率化の成果等の取扱い</w:t>
      </w:r>
    </w:p>
    <w:p w14:paraId="265F6BF0" w14:textId="0C3DB1C4" w:rsidR="00220303" w:rsidRDefault="00220303" w:rsidP="00220303">
      <w:pPr>
        <w:ind w:left="210" w:hangingChars="100" w:hanging="210"/>
        <w:jc w:val="left"/>
        <w:rPr>
          <w:szCs w:val="21"/>
        </w:rPr>
      </w:pPr>
      <w:r>
        <w:rPr>
          <w:rFonts w:hint="eastAsia"/>
          <w:szCs w:val="21"/>
        </w:rPr>
        <w:t xml:space="preserve">６　</w:t>
      </w:r>
      <w:r w:rsidRPr="00220303">
        <w:rPr>
          <w:rFonts w:hint="eastAsia"/>
          <w:szCs w:val="21"/>
        </w:rPr>
        <w:t>配電事業の休廃止</w:t>
      </w:r>
      <w:r w:rsidR="005B7EC8">
        <w:rPr>
          <w:rFonts w:hint="eastAsia"/>
          <w:szCs w:val="21"/>
        </w:rPr>
        <w:t>、</w:t>
      </w:r>
      <w:r w:rsidRPr="00220303">
        <w:rPr>
          <w:rFonts w:hint="eastAsia"/>
          <w:szCs w:val="21"/>
        </w:rPr>
        <w:t>譲渡し又は供給区域の変更（供給区域の減少に限る。）</w:t>
      </w:r>
      <w:r w:rsidR="00DA5294">
        <w:rPr>
          <w:rFonts w:hint="eastAsia"/>
          <w:szCs w:val="21"/>
        </w:rPr>
        <w:t>時における</w:t>
      </w:r>
      <w:r w:rsidRPr="00220303">
        <w:rPr>
          <w:rFonts w:hint="eastAsia"/>
          <w:szCs w:val="21"/>
        </w:rPr>
        <w:t>一般送配電事業者等に対する電気工作物の譲渡し又は返却及び託送供給等の業務の引継ぎ</w:t>
      </w:r>
      <w:r>
        <w:rPr>
          <w:rFonts w:hint="eastAsia"/>
          <w:szCs w:val="21"/>
        </w:rPr>
        <w:t>に関する事項</w:t>
      </w:r>
    </w:p>
    <w:p w14:paraId="1C54C101" w14:textId="4E56256E" w:rsidR="00220303" w:rsidRDefault="00220303" w:rsidP="00220303">
      <w:pPr>
        <w:pStyle w:val="af3"/>
        <w:numPr>
          <w:ilvl w:val="0"/>
          <w:numId w:val="9"/>
        </w:numPr>
        <w:ind w:leftChars="0"/>
        <w:jc w:val="left"/>
        <w:rPr>
          <w:szCs w:val="21"/>
        </w:rPr>
      </w:pPr>
      <w:r w:rsidRPr="00220303">
        <w:rPr>
          <w:rFonts w:hint="eastAsia"/>
          <w:szCs w:val="21"/>
        </w:rPr>
        <w:t>電気工作物やその情報等の引継ぎ方法</w:t>
      </w:r>
    </w:p>
    <w:p w14:paraId="59E6C992" w14:textId="4733160A" w:rsidR="00C90EB6" w:rsidRPr="00220303" w:rsidRDefault="00C90EB6" w:rsidP="00C90EB6">
      <w:pPr>
        <w:pStyle w:val="af3"/>
        <w:numPr>
          <w:ilvl w:val="0"/>
          <w:numId w:val="9"/>
        </w:numPr>
        <w:ind w:leftChars="0"/>
        <w:jc w:val="left"/>
        <w:rPr>
          <w:szCs w:val="21"/>
        </w:rPr>
      </w:pPr>
      <w:r w:rsidRPr="00C90EB6">
        <w:rPr>
          <w:rFonts w:hint="eastAsia"/>
          <w:szCs w:val="21"/>
        </w:rPr>
        <w:t>供給区域内の地方公共団体、電気の使用者、その託送供給等約款により電気の供給を受けている者その他の関係者に対</w:t>
      </w:r>
      <w:r>
        <w:rPr>
          <w:rFonts w:hint="eastAsia"/>
          <w:szCs w:val="21"/>
        </w:rPr>
        <w:t>する説明の方法</w:t>
      </w:r>
    </w:p>
    <w:p w14:paraId="591466D0" w14:textId="075590D0" w:rsidR="00220303" w:rsidRDefault="00220303" w:rsidP="00220303">
      <w:pPr>
        <w:pStyle w:val="af3"/>
        <w:numPr>
          <w:ilvl w:val="0"/>
          <w:numId w:val="9"/>
        </w:numPr>
        <w:ind w:leftChars="0"/>
        <w:jc w:val="left"/>
        <w:rPr>
          <w:szCs w:val="21"/>
        </w:rPr>
      </w:pPr>
      <w:r>
        <w:rPr>
          <w:rFonts w:hint="eastAsia"/>
          <w:szCs w:val="21"/>
        </w:rPr>
        <w:t>原状回復</w:t>
      </w:r>
      <w:r w:rsidR="007449DD">
        <w:rPr>
          <w:rFonts w:hint="eastAsia"/>
          <w:szCs w:val="21"/>
        </w:rPr>
        <w:t>方法</w:t>
      </w:r>
      <w:r>
        <w:rPr>
          <w:rFonts w:hint="eastAsia"/>
          <w:szCs w:val="21"/>
        </w:rPr>
        <w:t>の内容</w:t>
      </w:r>
    </w:p>
    <w:p w14:paraId="7963ABFF" w14:textId="55468BC4" w:rsidR="00220303" w:rsidRDefault="00C90EB6" w:rsidP="00C90EB6">
      <w:pPr>
        <w:pStyle w:val="af3"/>
        <w:numPr>
          <w:ilvl w:val="0"/>
          <w:numId w:val="9"/>
        </w:numPr>
        <w:ind w:leftChars="0"/>
        <w:jc w:val="left"/>
        <w:rPr>
          <w:szCs w:val="21"/>
        </w:rPr>
      </w:pPr>
      <w:r w:rsidRPr="00C90EB6">
        <w:rPr>
          <w:rFonts w:hint="eastAsia"/>
          <w:szCs w:val="21"/>
        </w:rPr>
        <w:t>休廃止に備えた積立金</w:t>
      </w:r>
      <w:r>
        <w:rPr>
          <w:rFonts w:hint="eastAsia"/>
          <w:szCs w:val="21"/>
        </w:rPr>
        <w:t>の積立て方法及び取崩し方法</w:t>
      </w:r>
    </w:p>
    <w:p w14:paraId="33551C17" w14:textId="02BD7CA9" w:rsidR="00E638A9" w:rsidRDefault="00E638A9" w:rsidP="00C90EB6">
      <w:pPr>
        <w:pStyle w:val="af3"/>
        <w:numPr>
          <w:ilvl w:val="0"/>
          <w:numId w:val="9"/>
        </w:numPr>
        <w:ind w:leftChars="0"/>
        <w:jc w:val="left"/>
        <w:rPr>
          <w:szCs w:val="21"/>
        </w:rPr>
      </w:pPr>
      <w:r>
        <w:rPr>
          <w:rFonts w:hint="eastAsia"/>
          <w:szCs w:val="21"/>
        </w:rPr>
        <w:t>積立金の積立てを行えない場合の対応方法</w:t>
      </w:r>
    </w:p>
    <w:p w14:paraId="2FB54881" w14:textId="1CE79E00" w:rsidR="00C90EB6" w:rsidRDefault="00C90EB6" w:rsidP="00C90EB6">
      <w:pPr>
        <w:pStyle w:val="af3"/>
        <w:numPr>
          <w:ilvl w:val="0"/>
          <w:numId w:val="9"/>
        </w:numPr>
        <w:ind w:leftChars="0"/>
        <w:jc w:val="left"/>
        <w:rPr>
          <w:szCs w:val="21"/>
        </w:rPr>
      </w:pPr>
      <w:r>
        <w:rPr>
          <w:rFonts w:hint="eastAsia"/>
          <w:szCs w:val="21"/>
        </w:rPr>
        <w:t>一般送配電事業者が配電事業者の設備管理状況等を</w:t>
      </w:r>
      <w:r w:rsidRPr="00C90EB6">
        <w:rPr>
          <w:rFonts w:hint="eastAsia"/>
          <w:szCs w:val="21"/>
        </w:rPr>
        <w:t>確認する方法</w:t>
      </w:r>
    </w:p>
    <w:p w14:paraId="7CA5277C" w14:textId="60901A50" w:rsidR="00F0295A" w:rsidRDefault="00F0295A" w:rsidP="00C90EB6">
      <w:pPr>
        <w:pStyle w:val="af3"/>
        <w:numPr>
          <w:ilvl w:val="0"/>
          <w:numId w:val="9"/>
        </w:numPr>
        <w:ind w:leftChars="0"/>
        <w:jc w:val="left"/>
        <w:rPr>
          <w:szCs w:val="21"/>
        </w:rPr>
      </w:pPr>
      <w:r>
        <w:rPr>
          <w:rFonts w:hint="eastAsia"/>
          <w:szCs w:val="21"/>
        </w:rPr>
        <w:t>第三者への電気工作物の譲渡・貸与の取扱い</w:t>
      </w:r>
    </w:p>
    <w:p w14:paraId="1AB179F0" w14:textId="107FD82D" w:rsidR="00C90EB6" w:rsidRPr="00C90EB6" w:rsidRDefault="008F265F" w:rsidP="00C90EB6">
      <w:pPr>
        <w:ind w:left="210" w:hangingChars="100" w:hanging="210"/>
        <w:jc w:val="left"/>
        <w:rPr>
          <w:szCs w:val="21"/>
        </w:rPr>
      </w:pPr>
      <w:r>
        <w:rPr>
          <w:rFonts w:hint="eastAsia"/>
          <w:szCs w:val="21"/>
        </w:rPr>
        <w:t>７</w:t>
      </w:r>
      <w:r w:rsidR="00C90EB6">
        <w:rPr>
          <w:rFonts w:hint="eastAsia"/>
          <w:szCs w:val="21"/>
        </w:rPr>
        <w:t xml:space="preserve">　</w:t>
      </w:r>
      <w:r w:rsidR="00DA5294" w:rsidRPr="00DA5294">
        <w:rPr>
          <w:rFonts w:hint="eastAsia"/>
          <w:szCs w:val="21"/>
        </w:rPr>
        <w:t>供給区域内の地方公共団体、電気の使用者、その託送供給等約款により電気の供給を受けている者その他の関係者</w:t>
      </w:r>
      <w:r w:rsidR="00C90EB6" w:rsidRPr="00C90EB6">
        <w:rPr>
          <w:rFonts w:hint="eastAsia"/>
          <w:szCs w:val="21"/>
        </w:rPr>
        <w:t>に対する配電事業を営もうとする旨</w:t>
      </w:r>
      <w:r w:rsidR="00C90EB6">
        <w:rPr>
          <w:rFonts w:hint="eastAsia"/>
          <w:szCs w:val="21"/>
        </w:rPr>
        <w:t>やその事業概要につい</w:t>
      </w:r>
      <w:r w:rsidR="00C90EB6">
        <w:rPr>
          <w:rFonts w:hint="eastAsia"/>
          <w:szCs w:val="21"/>
        </w:rPr>
        <w:lastRenderedPageBreak/>
        <w:t>ての説明会の開催その他の方法による説明の実績</w:t>
      </w:r>
    </w:p>
    <w:p w14:paraId="0681D3B8" w14:textId="77777777" w:rsidR="00E70C1F" w:rsidRPr="00DA5294" w:rsidRDefault="00E70C1F" w:rsidP="00E70C1F">
      <w:pPr>
        <w:ind w:left="210" w:hangingChars="100" w:hanging="210"/>
        <w:jc w:val="left"/>
        <w:rPr>
          <w:szCs w:val="21"/>
        </w:rPr>
      </w:pPr>
    </w:p>
    <w:p w14:paraId="47B389A8" w14:textId="21C5D998" w:rsidR="006A7FBF" w:rsidRPr="00734070" w:rsidRDefault="006A7FBF" w:rsidP="009217FB">
      <w:pPr>
        <w:ind w:left="283" w:hangingChars="135" w:hanging="283"/>
        <w:jc w:val="left"/>
        <w:rPr>
          <w:szCs w:val="21"/>
        </w:rPr>
      </w:pP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DB4CB32" w14:textId="1394E09C" w:rsidR="006A7FBF" w:rsidRPr="00734070" w:rsidRDefault="006A7FBF" w:rsidP="00AB1821">
      <w:pPr>
        <w:ind w:left="850" w:hangingChars="405" w:hanging="850"/>
        <w:rPr>
          <w:szCs w:val="21"/>
        </w:rPr>
      </w:pPr>
      <w:r w:rsidRPr="00734070">
        <w:rPr>
          <w:rFonts w:hint="eastAsia"/>
          <w:szCs w:val="21"/>
        </w:rPr>
        <w:t xml:space="preserve">備考　１　</w:t>
      </w:r>
      <w:r w:rsidR="008E06E2" w:rsidRPr="008E06E2">
        <w:rPr>
          <w:rFonts w:hint="eastAsia"/>
          <w:szCs w:val="21"/>
        </w:rPr>
        <w:t>譲り受け、又は借り受けた電気工作物の</w:t>
      </w:r>
      <w:r w:rsidR="008E06E2">
        <w:rPr>
          <w:rFonts w:hint="eastAsia"/>
          <w:szCs w:val="21"/>
        </w:rPr>
        <w:t>概要</w:t>
      </w:r>
      <w:r w:rsidRPr="00734070">
        <w:rPr>
          <w:rFonts w:hint="eastAsia"/>
          <w:szCs w:val="21"/>
        </w:rPr>
        <w:t>は、主要設備について記載すること。</w:t>
      </w:r>
    </w:p>
    <w:p w14:paraId="79199D21" w14:textId="00A19BF3" w:rsidR="00AE43D2" w:rsidRDefault="006C66DF" w:rsidP="00AE43D2">
      <w:pPr>
        <w:ind w:leftChars="300" w:left="840" w:hangingChars="100" w:hanging="210"/>
        <w:jc w:val="left"/>
        <w:rPr>
          <w:szCs w:val="21"/>
        </w:rPr>
      </w:pPr>
      <w:r>
        <w:rPr>
          <w:rFonts w:hint="eastAsia"/>
          <w:szCs w:val="21"/>
        </w:rPr>
        <w:t>２</w:t>
      </w:r>
      <w:r w:rsidR="006A7FBF" w:rsidRPr="00734070">
        <w:rPr>
          <w:rFonts w:hint="eastAsia"/>
          <w:szCs w:val="21"/>
        </w:rPr>
        <w:t xml:space="preserve">　該当事項のない項目は、省略すること。</w:t>
      </w:r>
      <w:r w:rsidR="00AE43D2">
        <w:rPr>
          <w:rFonts w:hint="eastAsia"/>
          <w:szCs w:val="21"/>
        </w:rPr>
        <w:tab/>
      </w:r>
      <w:r w:rsidR="00AE43D2">
        <w:rPr>
          <w:rFonts w:hint="eastAsia"/>
          <w:szCs w:val="21"/>
        </w:rPr>
        <w:tab/>
      </w:r>
      <w:r w:rsidR="00AE43D2">
        <w:rPr>
          <w:rFonts w:hint="eastAsia"/>
          <w:szCs w:val="21"/>
        </w:rPr>
        <w:tab/>
      </w:r>
      <w:r w:rsidR="00AE43D2">
        <w:rPr>
          <w:rFonts w:hint="eastAsia"/>
          <w:szCs w:val="21"/>
        </w:rPr>
        <w:tab/>
      </w:r>
    </w:p>
    <w:p w14:paraId="642E772C" w14:textId="33793C1A" w:rsidR="00A323D2" w:rsidRPr="006C66DF" w:rsidRDefault="006C66DF" w:rsidP="006C66DF">
      <w:pPr>
        <w:ind w:leftChars="300" w:left="840" w:hangingChars="100" w:hanging="210"/>
        <w:jc w:val="left"/>
        <w:rPr>
          <w:szCs w:val="21"/>
        </w:rPr>
      </w:pPr>
      <w:r>
        <w:rPr>
          <w:rFonts w:hint="eastAsia"/>
          <w:szCs w:val="21"/>
        </w:rPr>
        <w:t>３</w:t>
      </w:r>
      <w:r w:rsidR="009B493C">
        <w:rPr>
          <w:rFonts w:hint="eastAsia"/>
          <w:szCs w:val="21"/>
        </w:rPr>
        <w:t xml:space="preserve">　用紙の大きさは、日本産業</w:t>
      </w:r>
      <w:r w:rsidR="006A7FBF" w:rsidRPr="00734070">
        <w:rPr>
          <w:rFonts w:hint="eastAsia"/>
          <w:szCs w:val="21"/>
        </w:rPr>
        <w:t>規格Ａ４とすること。</w:t>
      </w:r>
      <w:r>
        <w:rPr>
          <w:rFonts w:hint="eastAsia"/>
          <w:szCs w:val="21"/>
        </w:rPr>
        <w:tab/>
      </w:r>
      <w:r>
        <w:rPr>
          <w:rFonts w:hint="eastAsia"/>
          <w:szCs w:val="21"/>
        </w:rPr>
        <w:tab/>
      </w:r>
      <w:r>
        <w:rPr>
          <w:rFonts w:hint="eastAsia"/>
          <w:szCs w:val="21"/>
        </w:rPr>
        <w:tab/>
      </w:r>
      <w:r>
        <w:rPr>
          <w:rFonts w:hint="eastAsia"/>
          <w:szCs w:val="21"/>
        </w:rPr>
        <w:tab/>
      </w:r>
    </w:p>
    <w:sectPr w:rsidR="00A323D2" w:rsidRPr="006C66DF" w:rsidSect="006A7FBF">
      <w:headerReference w:type="first" r:id="rId8"/>
      <w:pgSz w:w="11906" w:h="16838"/>
      <w:pgMar w:top="1814" w:right="1701" w:bottom="164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2BEE" w14:textId="77777777" w:rsidR="00EE594F" w:rsidRDefault="00EE594F" w:rsidP="003C0825">
      <w:r>
        <w:separator/>
      </w:r>
    </w:p>
  </w:endnote>
  <w:endnote w:type="continuationSeparator" w:id="0">
    <w:p w14:paraId="1763951F" w14:textId="77777777" w:rsidR="00EE594F" w:rsidRDefault="00EE594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619F" w14:textId="77777777" w:rsidR="00EE594F" w:rsidRDefault="00EE594F" w:rsidP="003C0825">
      <w:r>
        <w:separator/>
      </w:r>
    </w:p>
  </w:footnote>
  <w:footnote w:type="continuationSeparator" w:id="0">
    <w:p w14:paraId="5A87B4CF" w14:textId="77777777" w:rsidR="00EE594F" w:rsidRDefault="00EE594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0BE3" w14:textId="77777777" w:rsidR="00EE594F" w:rsidRPr="005B2C63" w:rsidRDefault="00EE594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2DA"/>
    <w:multiLevelType w:val="multilevel"/>
    <w:tmpl w:val="14F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6C0"/>
    <w:multiLevelType w:val="multilevel"/>
    <w:tmpl w:val="B20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52A3"/>
    <w:multiLevelType w:val="hybridMultilevel"/>
    <w:tmpl w:val="96640696"/>
    <w:lvl w:ilvl="0" w:tplc="D56C1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947031"/>
    <w:multiLevelType w:val="multilevel"/>
    <w:tmpl w:val="C8F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F26A1"/>
    <w:multiLevelType w:val="hybridMultilevel"/>
    <w:tmpl w:val="4DAEA1CA"/>
    <w:lvl w:ilvl="0" w:tplc="E9C4AD5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D3B2300"/>
    <w:multiLevelType w:val="hybridMultilevel"/>
    <w:tmpl w:val="4B3A8858"/>
    <w:lvl w:ilvl="0" w:tplc="5024DB5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C4B586B"/>
    <w:multiLevelType w:val="hybridMultilevel"/>
    <w:tmpl w:val="9E000410"/>
    <w:lvl w:ilvl="0" w:tplc="173491E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0CC1B1B"/>
    <w:multiLevelType w:val="multilevel"/>
    <w:tmpl w:val="3DF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61A8A"/>
    <w:multiLevelType w:val="multilevel"/>
    <w:tmpl w:val="B72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01784"/>
    <w:multiLevelType w:val="hybridMultilevel"/>
    <w:tmpl w:val="B576EC10"/>
    <w:lvl w:ilvl="0" w:tplc="FB521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8"/>
  </w:num>
  <w:num w:numId="2">
    <w:abstractNumId w:val="7"/>
  </w:num>
  <w:num w:numId="3">
    <w:abstractNumId w:val="1"/>
  </w:num>
  <w:num w:numId="4">
    <w:abstractNumId w:val="0"/>
  </w:num>
  <w:num w:numId="5">
    <w:abstractNumId w:val="3"/>
  </w:num>
  <w:num w:numId="6">
    <w:abstractNumId w:val="9"/>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clean"/>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BF"/>
    <w:rsid w:val="000704ED"/>
    <w:rsid w:val="000714D7"/>
    <w:rsid w:val="00071CFA"/>
    <w:rsid w:val="000800FA"/>
    <w:rsid w:val="000B1841"/>
    <w:rsid w:val="000E4BEF"/>
    <w:rsid w:val="00110596"/>
    <w:rsid w:val="00117FBB"/>
    <w:rsid w:val="00120AD4"/>
    <w:rsid w:val="0012704F"/>
    <w:rsid w:val="001270B0"/>
    <w:rsid w:val="0014507C"/>
    <w:rsid w:val="00157365"/>
    <w:rsid w:val="001950D4"/>
    <w:rsid w:val="001D0945"/>
    <w:rsid w:val="001F229C"/>
    <w:rsid w:val="00203211"/>
    <w:rsid w:val="00220303"/>
    <w:rsid w:val="00234E6F"/>
    <w:rsid w:val="002773B1"/>
    <w:rsid w:val="002B3920"/>
    <w:rsid w:val="002B49B3"/>
    <w:rsid w:val="002E21A5"/>
    <w:rsid w:val="002E6F42"/>
    <w:rsid w:val="002F2744"/>
    <w:rsid w:val="00300736"/>
    <w:rsid w:val="00306230"/>
    <w:rsid w:val="003111E6"/>
    <w:rsid w:val="003273C3"/>
    <w:rsid w:val="00327709"/>
    <w:rsid w:val="00342014"/>
    <w:rsid w:val="00342DA1"/>
    <w:rsid w:val="00363364"/>
    <w:rsid w:val="00374BA6"/>
    <w:rsid w:val="00380AFB"/>
    <w:rsid w:val="00381329"/>
    <w:rsid w:val="003B232D"/>
    <w:rsid w:val="003C0825"/>
    <w:rsid w:val="003E670A"/>
    <w:rsid w:val="00415E57"/>
    <w:rsid w:val="00423133"/>
    <w:rsid w:val="00427E76"/>
    <w:rsid w:val="0046326C"/>
    <w:rsid w:val="00482008"/>
    <w:rsid w:val="0049010A"/>
    <w:rsid w:val="004B463C"/>
    <w:rsid w:val="004D5356"/>
    <w:rsid w:val="004E033B"/>
    <w:rsid w:val="00533ECD"/>
    <w:rsid w:val="00535548"/>
    <w:rsid w:val="00543975"/>
    <w:rsid w:val="00553CC8"/>
    <w:rsid w:val="00564DE9"/>
    <w:rsid w:val="00574E90"/>
    <w:rsid w:val="00582C84"/>
    <w:rsid w:val="005A70DB"/>
    <w:rsid w:val="005B2C63"/>
    <w:rsid w:val="005B7EC8"/>
    <w:rsid w:val="005C5442"/>
    <w:rsid w:val="005D124A"/>
    <w:rsid w:val="005D4B4F"/>
    <w:rsid w:val="005F3AFE"/>
    <w:rsid w:val="00646BD7"/>
    <w:rsid w:val="006A127E"/>
    <w:rsid w:val="006A7FBF"/>
    <w:rsid w:val="006C66DF"/>
    <w:rsid w:val="006D7F6D"/>
    <w:rsid w:val="00704A61"/>
    <w:rsid w:val="00705D85"/>
    <w:rsid w:val="00712B71"/>
    <w:rsid w:val="0071550C"/>
    <w:rsid w:val="00724294"/>
    <w:rsid w:val="00725204"/>
    <w:rsid w:val="00730B92"/>
    <w:rsid w:val="007449DD"/>
    <w:rsid w:val="00762AD4"/>
    <w:rsid w:val="007760AE"/>
    <w:rsid w:val="007A7F73"/>
    <w:rsid w:val="007B05C5"/>
    <w:rsid w:val="007C5893"/>
    <w:rsid w:val="0080263F"/>
    <w:rsid w:val="00807B5E"/>
    <w:rsid w:val="00823E1A"/>
    <w:rsid w:val="008248C2"/>
    <w:rsid w:val="008351E7"/>
    <w:rsid w:val="00854164"/>
    <w:rsid w:val="00885B88"/>
    <w:rsid w:val="008B6018"/>
    <w:rsid w:val="008C73D1"/>
    <w:rsid w:val="008E06E2"/>
    <w:rsid w:val="008E5F8B"/>
    <w:rsid w:val="008F265F"/>
    <w:rsid w:val="008F3AC7"/>
    <w:rsid w:val="009217FB"/>
    <w:rsid w:val="00933F69"/>
    <w:rsid w:val="00981B64"/>
    <w:rsid w:val="009B493C"/>
    <w:rsid w:val="009F084A"/>
    <w:rsid w:val="009F1401"/>
    <w:rsid w:val="009F48A5"/>
    <w:rsid w:val="00A10268"/>
    <w:rsid w:val="00A323D2"/>
    <w:rsid w:val="00A57BC2"/>
    <w:rsid w:val="00AB1821"/>
    <w:rsid w:val="00AB4FCA"/>
    <w:rsid w:val="00AE43D2"/>
    <w:rsid w:val="00B1095D"/>
    <w:rsid w:val="00BB08AD"/>
    <w:rsid w:val="00C030AE"/>
    <w:rsid w:val="00C05839"/>
    <w:rsid w:val="00C11B59"/>
    <w:rsid w:val="00C260B1"/>
    <w:rsid w:val="00C36AE3"/>
    <w:rsid w:val="00C9072D"/>
    <w:rsid w:val="00C90EB6"/>
    <w:rsid w:val="00C921D2"/>
    <w:rsid w:val="00CA54B7"/>
    <w:rsid w:val="00CE6391"/>
    <w:rsid w:val="00CF30C6"/>
    <w:rsid w:val="00D076AB"/>
    <w:rsid w:val="00D613E7"/>
    <w:rsid w:val="00D97A3E"/>
    <w:rsid w:val="00DA5294"/>
    <w:rsid w:val="00DB1A89"/>
    <w:rsid w:val="00DC69D8"/>
    <w:rsid w:val="00DD29D3"/>
    <w:rsid w:val="00E12D42"/>
    <w:rsid w:val="00E15BC7"/>
    <w:rsid w:val="00E30B32"/>
    <w:rsid w:val="00E36A14"/>
    <w:rsid w:val="00E44621"/>
    <w:rsid w:val="00E5409C"/>
    <w:rsid w:val="00E638A9"/>
    <w:rsid w:val="00E70C1F"/>
    <w:rsid w:val="00E97491"/>
    <w:rsid w:val="00EC763D"/>
    <w:rsid w:val="00EE2315"/>
    <w:rsid w:val="00EE594F"/>
    <w:rsid w:val="00EF750F"/>
    <w:rsid w:val="00F0295A"/>
    <w:rsid w:val="00F1031C"/>
    <w:rsid w:val="00F11E12"/>
    <w:rsid w:val="00F36A47"/>
    <w:rsid w:val="00F72B84"/>
    <w:rsid w:val="00F84AA4"/>
    <w:rsid w:val="00FB2436"/>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B60A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D076AB"/>
    <w:rPr>
      <w:sz w:val="18"/>
      <w:szCs w:val="18"/>
    </w:rPr>
  </w:style>
  <w:style w:type="paragraph" w:styleId="ae">
    <w:name w:val="annotation text"/>
    <w:basedOn w:val="a"/>
    <w:link w:val="af"/>
    <w:uiPriority w:val="99"/>
    <w:unhideWhenUsed/>
    <w:rsid w:val="00D076AB"/>
    <w:pPr>
      <w:jc w:val="left"/>
    </w:pPr>
  </w:style>
  <w:style w:type="character" w:customStyle="1" w:styleId="af">
    <w:name w:val="コメント文字列 (文字)"/>
    <w:basedOn w:val="a0"/>
    <w:link w:val="ae"/>
    <w:uiPriority w:val="99"/>
    <w:rsid w:val="00D076AB"/>
  </w:style>
  <w:style w:type="paragraph" w:styleId="af0">
    <w:name w:val="annotation subject"/>
    <w:basedOn w:val="ae"/>
    <w:next w:val="ae"/>
    <w:link w:val="af1"/>
    <w:uiPriority w:val="99"/>
    <w:semiHidden/>
    <w:unhideWhenUsed/>
    <w:rsid w:val="00D076AB"/>
    <w:rPr>
      <w:b/>
      <w:bCs/>
    </w:rPr>
  </w:style>
  <w:style w:type="character" w:customStyle="1" w:styleId="af1">
    <w:name w:val="コメント内容 (文字)"/>
    <w:basedOn w:val="af"/>
    <w:link w:val="af0"/>
    <w:uiPriority w:val="99"/>
    <w:semiHidden/>
    <w:rsid w:val="00D076AB"/>
    <w:rPr>
      <w:b/>
      <w:bCs/>
    </w:rPr>
  </w:style>
  <w:style w:type="paragraph" w:styleId="af2">
    <w:name w:val="Revision"/>
    <w:hidden/>
    <w:uiPriority w:val="99"/>
    <w:semiHidden/>
    <w:rsid w:val="00342014"/>
  </w:style>
  <w:style w:type="character" w:customStyle="1" w:styleId="searchlabel">
    <w:name w:val="searchlabel"/>
    <w:basedOn w:val="a0"/>
    <w:rsid w:val="00CA54B7"/>
  </w:style>
  <w:style w:type="character" w:customStyle="1" w:styleId="lawname">
    <w:name w:val="lawname"/>
    <w:basedOn w:val="a0"/>
    <w:rsid w:val="00CA54B7"/>
  </w:style>
  <w:style w:type="paragraph" w:styleId="af3">
    <w:name w:val="List Paragraph"/>
    <w:basedOn w:val="a"/>
    <w:uiPriority w:val="34"/>
    <w:qFormat/>
    <w:rsid w:val="00A57BC2"/>
    <w:pPr>
      <w:ind w:leftChars="400" w:left="840"/>
    </w:pPr>
  </w:style>
  <w:style w:type="paragraph" w:customStyle="1" w:styleId="Default">
    <w:name w:val="Default"/>
    <w:rsid w:val="00730B9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304522">
      <w:bodyDiv w:val="1"/>
      <w:marLeft w:val="0"/>
      <w:marRight w:val="0"/>
      <w:marTop w:val="0"/>
      <w:marBottom w:val="0"/>
      <w:divBdr>
        <w:top w:val="none" w:sz="0" w:space="0" w:color="auto"/>
        <w:left w:val="none" w:sz="0" w:space="0" w:color="auto"/>
        <w:bottom w:val="none" w:sz="0" w:space="0" w:color="auto"/>
        <w:right w:val="none" w:sz="0" w:space="0" w:color="auto"/>
      </w:divBdr>
      <w:divsChild>
        <w:div w:id="371612415">
          <w:marLeft w:val="0"/>
          <w:marRight w:val="0"/>
          <w:marTop w:val="0"/>
          <w:marBottom w:val="0"/>
          <w:divBdr>
            <w:top w:val="none" w:sz="0" w:space="0" w:color="auto"/>
            <w:left w:val="none" w:sz="0" w:space="0" w:color="auto"/>
            <w:bottom w:val="none" w:sz="0" w:space="0" w:color="auto"/>
            <w:right w:val="none" w:sz="0" w:space="0" w:color="auto"/>
          </w:divBdr>
          <w:divsChild>
            <w:div w:id="2112238483">
              <w:marLeft w:val="0"/>
              <w:marRight w:val="0"/>
              <w:marTop w:val="900"/>
              <w:marBottom w:val="0"/>
              <w:divBdr>
                <w:top w:val="none" w:sz="0" w:space="0" w:color="auto"/>
                <w:left w:val="none" w:sz="0" w:space="0" w:color="auto"/>
                <w:bottom w:val="none" w:sz="0" w:space="0" w:color="auto"/>
                <w:right w:val="none" w:sz="0" w:space="0" w:color="auto"/>
              </w:divBdr>
              <w:divsChild>
                <w:div w:id="194124969">
                  <w:marLeft w:val="0"/>
                  <w:marRight w:val="0"/>
                  <w:marTop w:val="0"/>
                  <w:marBottom w:val="0"/>
                  <w:divBdr>
                    <w:top w:val="none" w:sz="0" w:space="0" w:color="auto"/>
                    <w:left w:val="none" w:sz="0" w:space="0" w:color="auto"/>
                    <w:bottom w:val="none" w:sz="0" w:space="0" w:color="auto"/>
                    <w:right w:val="none" w:sz="0" w:space="0" w:color="auto"/>
                  </w:divBdr>
                  <w:divsChild>
                    <w:div w:id="29887502">
                      <w:marLeft w:val="0"/>
                      <w:marRight w:val="0"/>
                      <w:marTop w:val="0"/>
                      <w:marBottom w:val="0"/>
                      <w:divBdr>
                        <w:top w:val="none" w:sz="0" w:space="0" w:color="auto"/>
                        <w:left w:val="none" w:sz="0" w:space="0" w:color="auto"/>
                        <w:bottom w:val="none" w:sz="0" w:space="0" w:color="auto"/>
                        <w:right w:val="none" w:sz="0" w:space="0" w:color="auto"/>
                      </w:divBdr>
                      <w:divsChild>
                        <w:div w:id="1179654983">
                          <w:marLeft w:val="480"/>
                          <w:marRight w:val="0"/>
                          <w:marTop w:val="0"/>
                          <w:marBottom w:val="0"/>
                          <w:divBdr>
                            <w:top w:val="none" w:sz="0" w:space="0" w:color="auto"/>
                            <w:left w:val="none" w:sz="0" w:space="0" w:color="auto"/>
                            <w:bottom w:val="none" w:sz="0" w:space="0" w:color="auto"/>
                            <w:right w:val="none" w:sz="0" w:space="0" w:color="auto"/>
                          </w:divBdr>
                          <w:divsChild>
                            <w:div w:id="600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742363">
      <w:bodyDiv w:val="1"/>
      <w:marLeft w:val="0"/>
      <w:marRight w:val="0"/>
      <w:marTop w:val="0"/>
      <w:marBottom w:val="0"/>
      <w:divBdr>
        <w:top w:val="none" w:sz="0" w:space="0" w:color="auto"/>
        <w:left w:val="none" w:sz="0" w:space="0" w:color="auto"/>
        <w:bottom w:val="none" w:sz="0" w:space="0" w:color="auto"/>
        <w:right w:val="none" w:sz="0" w:space="0" w:color="auto"/>
      </w:divBdr>
      <w:divsChild>
        <w:div w:id="2034845182">
          <w:marLeft w:val="0"/>
          <w:marRight w:val="0"/>
          <w:marTop w:val="0"/>
          <w:marBottom w:val="0"/>
          <w:divBdr>
            <w:top w:val="none" w:sz="0" w:space="0" w:color="auto"/>
            <w:left w:val="none" w:sz="0" w:space="0" w:color="auto"/>
            <w:bottom w:val="none" w:sz="0" w:space="0" w:color="auto"/>
            <w:right w:val="none" w:sz="0" w:space="0" w:color="auto"/>
          </w:divBdr>
          <w:divsChild>
            <w:div w:id="275866027">
              <w:marLeft w:val="0"/>
              <w:marRight w:val="0"/>
              <w:marTop w:val="0"/>
              <w:marBottom w:val="0"/>
              <w:divBdr>
                <w:top w:val="none" w:sz="0" w:space="0" w:color="auto"/>
                <w:left w:val="none" w:sz="0" w:space="0" w:color="auto"/>
                <w:bottom w:val="none" w:sz="0" w:space="0" w:color="auto"/>
                <w:right w:val="none" w:sz="0" w:space="0" w:color="auto"/>
              </w:divBdr>
              <w:divsChild>
                <w:div w:id="2087417111">
                  <w:marLeft w:val="0"/>
                  <w:marRight w:val="0"/>
                  <w:marTop w:val="0"/>
                  <w:marBottom w:val="0"/>
                  <w:divBdr>
                    <w:top w:val="none" w:sz="0" w:space="0" w:color="auto"/>
                    <w:left w:val="none" w:sz="0" w:space="0" w:color="auto"/>
                    <w:bottom w:val="none" w:sz="0" w:space="0" w:color="auto"/>
                    <w:right w:val="none" w:sz="0" w:space="0" w:color="auto"/>
                  </w:divBdr>
                  <w:divsChild>
                    <w:div w:id="524101308">
                      <w:marLeft w:val="0"/>
                      <w:marRight w:val="0"/>
                      <w:marTop w:val="0"/>
                      <w:marBottom w:val="0"/>
                      <w:divBdr>
                        <w:top w:val="none" w:sz="0" w:space="0" w:color="auto"/>
                        <w:left w:val="none" w:sz="0" w:space="0" w:color="auto"/>
                        <w:bottom w:val="none" w:sz="0" w:space="0" w:color="auto"/>
                        <w:right w:val="none" w:sz="0" w:space="0" w:color="auto"/>
                      </w:divBdr>
                      <w:divsChild>
                        <w:div w:id="2818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91201">
      <w:bodyDiv w:val="1"/>
      <w:marLeft w:val="0"/>
      <w:marRight w:val="0"/>
      <w:marTop w:val="0"/>
      <w:marBottom w:val="0"/>
      <w:divBdr>
        <w:top w:val="none" w:sz="0" w:space="0" w:color="auto"/>
        <w:left w:val="none" w:sz="0" w:space="0" w:color="auto"/>
        <w:bottom w:val="none" w:sz="0" w:space="0" w:color="auto"/>
        <w:right w:val="none" w:sz="0" w:space="0" w:color="auto"/>
      </w:divBdr>
      <w:divsChild>
        <w:div w:id="445470090">
          <w:marLeft w:val="240"/>
          <w:marRight w:val="0"/>
          <w:marTop w:val="0"/>
          <w:marBottom w:val="0"/>
          <w:divBdr>
            <w:top w:val="none" w:sz="0" w:space="0" w:color="auto"/>
            <w:left w:val="none" w:sz="0" w:space="0" w:color="auto"/>
            <w:bottom w:val="none" w:sz="0" w:space="0" w:color="auto"/>
            <w:right w:val="none" w:sz="0" w:space="0" w:color="auto"/>
          </w:divBdr>
        </w:div>
        <w:div w:id="801658841">
          <w:marLeft w:val="240"/>
          <w:marRight w:val="0"/>
          <w:marTop w:val="0"/>
          <w:marBottom w:val="0"/>
          <w:divBdr>
            <w:top w:val="none" w:sz="0" w:space="0" w:color="auto"/>
            <w:left w:val="none" w:sz="0" w:space="0" w:color="auto"/>
            <w:bottom w:val="none" w:sz="0" w:space="0" w:color="auto"/>
            <w:right w:val="none" w:sz="0" w:space="0" w:color="auto"/>
          </w:divBdr>
        </w:div>
      </w:divsChild>
    </w:div>
    <w:div w:id="1077828221">
      <w:bodyDiv w:val="1"/>
      <w:marLeft w:val="0"/>
      <w:marRight w:val="0"/>
      <w:marTop w:val="0"/>
      <w:marBottom w:val="0"/>
      <w:divBdr>
        <w:top w:val="none" w:sz="0" w:space="0" w:color="auto"/>
        <w:left w:val="none" w:sz="0" w:space="0" w:color="auto"/>
        <w:bottom w:val="none" w:sz="0" w:space="0" w:color="auto"/>
        <w:right w:val="none" w:sz="0" w:space="0" w:color="auto"/>
      </w:divBdr>
      <w:divsChild>
        <w:div w:id="1567300738">
          <w:marLeft w:val="0"/>
          <w:marRight w:val="0"/>
          <w:marTop w:val="0"/>
          <w:marBottom w:val="0"/>
          <w:divBdr>
            <w:top w:val="none" w:sz="0" w:space="0" w:color="auto"/>
            <w:left w:val="none" w:sz="0" w:space="0" w:color="auto"/>
            <w:bottom w:val="none" w:sz="0" w:space="0" w:color="auto"/>
            <w:right w:val="none" w:sz="0" w:space="0" w:color="auto"/>
          </w:divBdr>
          <w:divsChild>
            <w:div w:id="217714107">
              <w:marLeft w:val="0"/>
              <w:marRight w:val="0"/>
              <w:marTop w:val="0"/>
              <w:marBottom w:val="0"/>
              <w:divBdr>
                <w:top w:val="none" w:sz="0" w:space="0" w:color="auto"/>
                <w:left w:val="none" w:sz="0" w:space="0" w:color="auto"/>
                <w:bottom w:val="none" w:sz="0" w:space="0" w:color="auto"/>
                <w:right w:val="none" w:sz="0" w:space="0" w:color="auto"/>
              </w:divBdr>
              <w:divsChild>
                <w:div w:id="243035240">
                  <w:marLeft w:val="0"/>
                  <w:marRight w:val="0"/>
                  <w:marTop w:val="0"/>
                  <w:marBottom w:val="0"/>
                  <w:divBdr>
                    <w:top w:val="none" w:sz="0" w:space="0" w:color="auto"/>
                    <w:left w:val="none" w:sz="0" w:space="0" w:color="auto"/>
                    <w:bottom w:val="none" w:sz="0" w:space="0" w:color="auto"/>
                    <w:right w:val="none" w:sz="0" w:space="0" w:color="auto"/>
                  </w:divBdr>
                  <w:divsChild>
                    <w:div w:id="1036656939">
                      <w:marLeft w:val="0"/>
                      <w:marRight w:val="0"/>
                      <w:marTop w:val="0"/>
                      <w:marBottom w:val="0"/>
                      <w:divBdr>
                        <w:top w:val="none" w:sz="0" w:space="0" w:color="auto"/>
                        <w:left w:val="none" w:sz="0" w:space="0" w:color="auto"/>
                        <w:bottom w:val="none" w:sz="0" w:space="0" w:color="auto"/>
                        <w:right w:val="none" w:sz="0" w:space="0" w:color="auto"/>
                      </w:divBdr>
                      <w:divsChild>
                        <w:div w:id="17666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44811">
      <w:bodyDiv w:val="1"/>
      <w:marLeft w:val="0"/>
      <w:marRight w:val="0"/>
      <w:marTop w:val="0"/>
      <w:marBottom w:val="0"/>
      <w:divBdr>
        <w:top w:val="none" w:sz="0" w:space="0" w:color="auto"/>
        <w:left w:val="none" w:sz="0" w:space="0" w:color="auto"/>
        <w:bottom w:val="none" w:sz="0" w:space="0" w:color="auto"/>
        <w:right w:val="none" w:sz="0" w:space="0" w:color="auto"/>
      </w:divBdr>
      <w:divsChild>
        <w:div w:id="539243135">
          <w:marLeft w:val="0"/>
          <w:marRight w:val="0"/>
          <w:marTop w:val="0"/>
          <w:marBottom w:val="0"/>
          <w:divBdr>
            <w:top w:val="none" w:sz="0" w:space="0" w:color="auto"/>
            <w:left w:val="none" w:sz="0" w:space="0" w:color="auto"/>
            <w:bottom w:val="none" w:sz="0" w:space="0" w:color="auto"/>
            <w:right w:val="none" w:sz="0" w:space="0" w:color="auto"/>
          </w:divBdr>
          <w:divsChild>
            <w:div w:id="549728897">
              <w:marLeft w:val="0"/>
              <w:marRight w:val="0"/>
              <w:marTop w:val="900"/>
              <w:marBottom w:val="0"/>
              <w:divBdr>
                <w:top w:val="none" w:sz="0" w:space="0" w:color="auto"/>
                <w:left w:val="none" w:sz="0" w:space="0" w:color="auto"/>
                <w:bottom w:val="none" w:sz="0" w:space="0" w:color="auto"/>
                <w:right w:val="none" w:sz="0" w:space="0" w:color="auto"/>
              </w:divBdr>
              <w:divsChild>
                <w:div w:id="2024671420">
                  <w:marLeft w:val="0"/>
                  <w:marRight w:val="0"/>
                  <w:marTop w:val="0"/>
                  <w:marBottom w:val="0"/>
                  <w:divBdr>
                    <w:top w:val="none" w:sz="0" w:space="0" w:color="auto"/>
                    <w:left w:val="none" w:sz="0" w:space="0" w:color="auto"/>
                    <w:bottom w:val="none" w:sz="0" w:space="0" w:color="auto"/>
                    <w:right w:val="none" w:sz="0" w:space="0" w:color="auto"/>
                  </w:divBdr>
                  <w:divsChild>
                    <w:div w:id="1891189134">
                      <w:marLeft w:val="0"/>
                      <w:marRight w:val="0"/>
                      <w:marTop w:val="0"/>
                      <w:marBottom w:val="0"/>
                      <w:divBdr>
                        <w:top w:val="none" w:sz="0" w:space="0" w:color="auto"/>
                        <w:left w:val="none" w:sz="0" w:space="0" w:color="auto"/>
                        <w:bottom w:val="none" w:sz="0" w:space="0" w:color="auto"/>
                        <w:right w:val="none" w:sz="0" w:space="0" w:color="auto"/>
                      </w:divBdr>
                      <w:divsChild>
                        <w:div w:id="251083399">
                          <w:marLeft w:val="0"/>
                          <w:marRight w:val="0"/>
                          <w:marTop w:val="0"/>
                          <w:marBottom w:val="180"/>
                          <w:divBdr>
                            <w:top w:val="none" w:sz="0" w:space="0" w:color="auto"/>
                            <w:left w:val="none" w:sz="0" w:space="0" w:color="auto"/>
                            <w:bottom w:val="none" w:sz="0" w:space="0" w:color="auto"/>
                            <w:right w:val="none" w:sz="0" w:space="0" w:color="auto"/>
                          </w:divBdr>
                          <w:divsChild>
                            <w:div w:id="324210406">
                              <w:marLeft w:val="0"/>
                              <w:marRight w:val="0"/>
                              <w:marTop w:val="0"/>
                              <w:marBottom w:val="0"/>
                              <w:divBdr>
                                <w:top w:val="none" w:sz="0" w:space="0" w:color="auto"/>
                                <w:left w:val="none" w:sz="0" w:space="0" w:color="auto"/>
                                <w:bottom w:val="none" w:sz="0" w:space="0" w:color="auto"/>
                                <w:right w:val="none" w:sz="0" w:space="0" w:color="auto"/>
                              </w:divBdr>
                              <w:divsChild>
                                <w:div w:id="390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01302939">
      <w:bodyDiv w:val="1"/>
      <w:marLeft w:val="0"/>
      <w:marRight w:val="0"/>
      <w:marTop w:val="0"/>
      <w:marBottom w:val="0"/>
      <w:divBdr>
        <w:top w:val="none" w:sz="0" w:space="0" w:color="auto"/>
        <w:left w:val="none" w:sz="0" w:space="0" w:color="auto"/>
        <w:bottom w:val="none" w:sz="0" w:space="0" w:color="auto"/>
        <w:right w:val="none" w:sz="0" w:space="0" w:color="auto"/>
      </w:divBdr>
      <w:divsChild>
        <w:div w:id="785544103">
          <w:marLeft w:val="0"/>
          <w:marRight w:val="0"/>
          <w:marTop w:val="0"/>
          <w:marBottom w:val="0"/>
          <w:divBdr>
            <w:top w:val="none" w:sz="0" w:space="0" w:color="auto"/>
            <w:left w:val="none" w:sz="0" w:space="0" w:color="auto"/>
            <w:bottom w:val="none" w:sz="0" w:space="0" w:color="auto"/>
            <w:right w:val="none" w:sz="0" w:space="0" w:color="auto"/>
          </w:divBdr>
          <w:divsChild>
            <w:div w:id="1542399824">
              <w:marLeft w:val="0"/>
              <w:marRight w:val="0"/>
              <w:marTop w:val="900"/>
              <w:marBottom w:val="0"/>
              <w:divBdr>
                <w:top w:val="none" w:sz="0" w:space="0" w:color="auto"/>
                <w:left w:val="none" w:sz="0" w:space="0" w:color="auto"/>
                <w:bottom w:val="none" w:sz="0" w:space="0" w:color="auto"/>
                <w:right w:val="none" w:sz="0" w:space="0" w:color="auto"/>
              </w:divBdr>
              <w:divsChild>
                <w:div w:id="512690873">
                  <w:marLeft w:val="0"/>
                  <w:marRight w:val="0"/>
                  <w:marTop w:val="0"/>
                  <w:marBottom w:val="0"/>
                  <w:divBdr>
                    <w:top w:val="none" w:sz="0" w:space="0" w:color="auto"/>
                    <w:left w:val="none" w:sz="0" w:space="0" w:color="auto"/>
                    <w:bottom w:val="none" w:sz="0" w:space="0" w:color="auto"/>
                    <w:right w:val="none" w:sz="0" w:space="0" w:color="auto"/>
                  </w:divBdr>
                  <w:divsChild>
                    <w:div w:id="1612976981">
                      <w:marLeft w:val="0"/>
                      <w:marRight w:val="0"/>
                      <w:marTop w:val="0"/>
                      <w:marBottom w:val="0"/>
                      <w:divBdr>
                        <w:top w:val="none" w:sz="0" w:space="0" w:color="auto"/>
                        <w:left w:val="none" w:sz="0" w:space="0" w:color="auto"/>
                        <w:bottom w:val="none" w:sz="0" w:space="0" w:color="auto"/>
                        <w:right w:val="none" w:sz="0" w:space="0" w:color="auto"/>
                      </w:divBdr>
                      <w:divsChild>
                        <w:div w:id="1430928869">
                          <w:marLeft w:val="240"/>
                          <w:marRight w:val="0"/>
                          <w:marTop w:val="0"/>
                          <w:marBottom w:val="0"/>
                          <w:divBdr>
                            <w:top w:val="none" w:sz="0" w:space="0" w:color="auto"/>
                            <w:left w:val="none" w:sz="0" w:space="0" w:color="auto"/>
                            <w:bottom w:val="none" w:sz="0" w:space="0" w:color="auto"/>
                            <w:right w:val="none" w:sz="0" w:space="0" w:color="auto"/>
                          </w:divBdr>
                          <w:divsChild>
                            <w:div w:id="1217010582">
                              <w:marLeft w:val="0"/>
                              <w:marRight w:val="0"/>
                              <w:marTop w:val="0"/>
                              <w:marBottom w:val="0"/>
                              <w:divBdr>
                                <w:top w:val="none" w:sz="0" w:space="0" w:color="auto"/>
                                <w:left w:val="none" w:sz="0" w:space="0" w:color="auto"/>
                                <w:bottom w:val="none" w:sz="0" w:space="0" w:color="auto"/>
                                <w:right w:val="none" w:sz="0" w:space="0" w:color="auto"/>
                              </w:divBdr>
                            </w:div>
                          </w:divsChild>
                        </w:div>
                        <w:div w:id="113141276">
                          <w:marLeft w:val="240"/>
                          <w:marRight w:val="0"/>
                          <w:marTop w:val="0"/>
                          <w:marBottom w:val="0"/>
                          <w:divBdr>
                            <w:top w:val="none" w:sz="0" w:space="0" w:color="auto"/>
                            <w:left w:val="none" w:sz="0" w:space="0" w:color="auto"/>
                            <w:bottom w:val="none" w:sz="0" w:space="0" w:color="auto"/>
                            <w:right w:val="none" w:sz="0" w:space="0" w:color="auto"/>
                          </w:divBdr>
                          <w:divsChild>
                            <w:div w:id="4468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27D9-D1F2-4972-96A3-9373C63A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2022-04-26T01:07:00Z</dcterms:created>
  <dcterms:modified xsi:type="dcterms:W3CDTF">2022-04-26T01:08:00Z</dcterms:modified>
</cp:coreProperties>
</file>