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2FB269AA"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915AB9">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246F8BDE"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w:t>
      </w:r>
      <w:r w:rsidR="00915AB9">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月</w:t>
      </w:r>
      <w:r w:rsidR="00915AB9">
        <w:rPr>
          <w:rFonts w:ascii="ＭＳ ゴシック" w:eastAsia="ＭＳ ゴシック" w:hAnsi="ＭＳ ゴシック" w:hint="eastAsia"/>
          <w:szCs w:val="21"/>
        </w:rPr>
        <w:t>７</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FB08B5">
        <w:rPr>
          <w:rFonts w:ascii="ＭＳ ゴシック" w:eastAsia="ＭＳ ゴシック" w:hAnsi="ＭＳ ゴシック" w:hint="eastAsia"/>
          <w:spacing w:val="30"/>
          <w:kern w:val="0"/>
          <w:szCs w:val="21"/>
          <w:fitText w:val="2100" w:id="1396525824"/>
        </w:rPr>
        <w:t>資源エネルギー</w:t>
      </w:r>
      <w:r w:rsidRPr="00FB08B5">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FB08B5">
        <w:rPr>
          <w:rFonts w:ascii="ＭＳ ゴシック" w:eastAsia="ＭＳ ゴシック" w:hAnsi="ＭＳ ゴシック" w:hint="eastAsia"/>
          <w:spacing w:val="17"/>
          <w:w w:val="97"/>
          <w:kern w:val="0"/>
          <w:szCs w:val="21"/>
          <w:fitText w:val="2100" w:id="1396526080"/>
        </w:rPr>
        <w:t>資源・燃料部政策</w:t>
      </w:r>
      <w:r w:rsidRPr="00FB08B5">
        <w:rPr>
          <w:rFonts w:ascii="ＭＳ ゴシック" w:eastAsia="ＭＳ ゴシック" w:hAnsi="ＭＳ ゴシック" w:hint="eastAsia"/>
          <w:spacing w:val="-1"/>
          <w:w w:val="97"/>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0FFA8801"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915AB9">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2BECAB21" w14:textId="3C81006C" w:rsidR="00FD20DA" w:rsidRDefault="00FD20DA" w:rsidP="008D4264">
      <w:pPr>
        <w:ind w:firstLineChars="100" w:firstLine="210"/>
        <w:rPr>
          <w:rFonts w:ascii="ＭＳ ゴシック" w:eastAsia="ＭＳ ゴシック" w:hAnsi="ＭＳ ゴシック"/>
          <w:szCs w:val="21"/>
        </w:rPr>
      </w:pPr>
      <w:r w:rsidRPr="00FD20DA">
        <w:rPr>
          <w:rFonts w:ascii="ＭＳ ゴシック" w:eastAsia="ＭＳ ゴシック" w:hAnsi="ＭＳ ゴシック"/>
          <w:szCs w:val="21"/>
        </w:rPr>
        <w:t>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w:t>
            </w:r>
            <w:r w:rsidRPr="00275CD6">
              <w:rPr>
                <w:rFonts w:ascii="ＭＳ ゴシック" w:eastAsia="ＭＳ ゴシック" w:hAnsi="ＭＳ ゴシック" w:hint="eastAsia"/>
                <w:bCs/>
                <w:sz w:val="22"/>
              </w:rPr>
              <w:lastRenderedPageBreak/>
              <w:t>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1"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4CB72481"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８</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0A1B5F62"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15AB9">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915AB9">
        <w:rPr>
          <w:rFonts w:ascii="ＭＳ ゴシック" w:eastAsia="ＭＳ ゴシック" w:hAnsi="ＭＳ ゴシック" w:hint="eastAsia"/>
          <w:szCs w:val="21"/>
        </w:rPr>
        <w:t>７</w:t>
      </w:r>
      <w:r>
        <w:rPr>
          <w:rFonts w:ascii="ＭＳ ゴシック" w:eastAsia="ＭＳ ゴシック" w:hAnsi="ＭＳ ゴシック" w:hint="eastAsia"/>
          <w:szCs w:val="21"/>
        </w:rPr>
        <w:t>日（</w:t>
      </w:r>
      <w:r w:rsidR="00915AB9">
        <w:rPr>
          <w:rFonts w:ascii="ＭＳ ゴシック" w:eastAsia="ＭＳ ゴシック" w:hAnsi="ＭＳ ゴシック" w:hint="eastAsia"/>
          <w:szCs w:val="21"/>
        </w:rPr>
        <w:t>水</w:t>
      </w:r>
      <w:r>
        <w:rPr>
          <w:rFonts w:ascii="ＭＳ ゴシック" w:eastAsia="ＭＳ ゴシック" w:hAnsi="ＭＳ ゴシック" w:hint="eastAsia"/>
          <w:szCs w:val="21"/>
        </w:rPr>
        <w:t>）</w:t>
      </w:r>
    </w:p>
    <w:p w14:paraId="214573B4" w14:textId="390AC28F"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15AB9">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915AB9">
        <w:rPr>
          <w:rFonts w:ascii="ＭＳ ゴシック" w:eastAsia="ＭＳ ゴシック" w:hAnsi="ＭＳ ゴシック" w:hint="eastAsia"/>
          <w:szCs w:val="21"/>
        </w:rPr>
        <w:t>２７</w:t>
      </w:r>
      <w:r>
        <w:rPr>
          <w:rFonts w:ascii="ＭＳ ゴシック" w:eastAsia="ＭＳ ゴシック" w:hAnsi="ＭＳ ゴシック" w:hint="eastAsia"/>
          <w:szCs w:val="21"/>
        </w:rPr>
        <w:t>日（</w:t>
      </w:r>
      <w:r w:rsidR="00915AB9">
        <w:rPr>
          <w:rFonts w:ascii="ＭＳ ゴシック" w:eastAsia="ＭＳ ゴシック" w:hAnsi="ＭＳ ゴシック" w:hint="eastAsia"/>
          <w:szCs w:val="21"/>
        </w:rPr>
        <w:t>火</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4"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358B4F2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C67CFE6"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759F90C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5E4DACD2"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915AB9">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060B1265"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915AB9">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3D2B4AE7"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61F2246"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w:t>
            </w:r>
            <w:r w:rsidR="006571DB">
              <w:rPr>
                <w:rFonts w:ascii="ＭＳ ゴシック" w:eastAsia="ＭＳ ゴシック" w:hAnsi="ＭＳ ゴシック" w:hint="eastAsia"/>
                <w:szCs w:val="21"/>
              </w:rPr>
              <w:t>．</w:t>
            </w:r>
            <w:r>
              <w:rPr>
                <w:rFonts w:ascii="ＭＳ ゴシック" w:eastAsia="ＭＳ ゴシック" w:hAnsi="ＭＳ ゴシック" w:hint="eastAsia"/>
                <w:szCs w:val="21"/>
              </w:rPr>
              <w:t>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554561B2" w14:textId="346F695C" w:rsidR="006571DB" w:rsidRDefault="002733EF" w:rsidP="006571DB">
            <w:pPr>
              <w:pStyle w:val="af2"/>
              <w:numPr>
                <w:ilvl w:val="0"/>
                <w:numId w:val="6"/>
              </w:numPr>
              <w:ind w:leftChars="0"/>
              <w:rPr>
                <w:rFonts w:ascii="ＭＳ ゴシック" w:eastAsia="ＭＳ ゴシック" w:hAnsi="ＭＳ ゴシック"/>
                <w:color w:val="FF0000"/>
                <w:szCs w:val="21"/>
              </w:rPr>
            </w:pPr>
            <w:r w:rsidRPr="008D4264">
              <w:rPr>
                <w:rFonts w:ascii="ＭＳ ゴシック" w:eastAsia="ＭＳ ゴシック" w:hAnsi="ＭＳ ゴシック" w:hint="eastAsia"/>
                <w:color w:val="FF0000"/>
                <w:szCs w:val="21"/>
              </w:rPr>
              <w:t>旅費</w:t>
            </w:r>
          </w:p>
          <w:p w14:paraId="5F7BB466" w14:textId="7F05DAB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講師謝金</w:t>
            </w:r>
          </w:p>
          <w:p w14:paraId="0B310E2E" w14:textId="35FFA07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講師旅費</w:t>
            </w:r>
          </w:p>
          <w:p w14:paraId="274A70AE" w14:textId="7311CB3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会場借料</w:t>
            </w:r>
          </w:p>
          <w:p w14:paraId="2C33897B" w14:textId="20DC17C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会議費</w:t>
            </w:r>
          </w:p>
          <w:p w14:paraId="1FF852D6" w14:textId="72A3C3EE"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補助人権費</w:t>
            </w:r>
          </w:p>
          <w:p w14:paraId="72441B68" w14:textId="0CA0248A" w:rsidR="002733EF" w:rsidRPr="006571DB" w:rsidRDefault="002733EF" w:rsidP="008D4264"/>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4D8403F6"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915AB9">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5E2E9B40" w:rsidR="00560AA0" w:rsidRDefault="00612EED"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5pt;height:150.75pt" o:ole="">
            <v:imagedata r:id="rId15" o:title=""/>
          </v:shape>
          <o:OLEObject Type="Embed" ProgID="Excel.Sheet.12" ShapeID="_x0000_i1030" DrawAspect="Content" ObjectID="_1807340252" r:id="rId16"/>
        </w:object>
      </w:r>
    </w:p>
    <w:p w14:paraId="7EE2C1DD" w14:textId="77777777" w:rsidR="007E213C" w:rsidRDefault="007E213C" w:rsidP="00560AA0">
      <w:pPr>
        <w:jc w:val="center"/>
        <w:rPr>
          <w:rFonts w:ascii="ＭＳ ゴシック" w:eastAsia="ＭＳ ゴシック" w:hAnsi="ＭＳ ゴシック"/>
          <w:szCs w:val="21"/>
        </w:rPr>
      </w:pPr>
    </w:p>
    <w:p w14:paraId="47E9696E" w14:textId="02F5A56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4C61D0">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89.75pt;height:237.75pt" o:ole="">
            <v:imagedata r:id="rId17" o:title=""/>
          </v:shape>
          <o:OLEObject Type="Embed" ProgID="Excel.Sheet.12" ShapeID="_x0000_i1026" DrawAspect="Content" ObjectID="_1807340253" r:id="rId18"/>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002DBAE9"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974850">
        <w:rPr>
          <w:rFonts w:ascii="ＭＳ ゴシック" w:eastAsia="ＭＳ ゴシック" w:hAnsi="ＭＳ ゴシック" w:hint="eastAsia"/>
          <w:szCs w:val="21"/>
        </w:rPr>
        <w:t>２</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32F2D80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0F649C5" w:rsidRPr="00F649C5">
        <w:rPr>
          <w:rFonts w:ascii="ＭＳ ゴシック" w:eastAsia="ＭＳ ゴシック" w:hAnsi="ＭＳ ゴシック"/>
          <w:noProof/>
        </w:rPr>
        <w:drawing>
          <wp:inline distT="0" distB="0" distL="0" distR="0" wp14:anchorId="45325CED" wp14:editId="3823C07F">
            <wp:extent cx="4315427" cy="7840169"/>
            <wp:effectExtent l="0" t="0" r="9525" b="8890"/>
            <wp:docPr id="706793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93701" name=""/>
                    <pic:cNvPicPr/>
                  </pic:nvPicPr>
                  <pic:blipFill>
                    <a:blip r:embed="rId19"/>
                    <a:stretch>
                      <a:fillRect/>
                    </a:stretch>
                  </pic:blipFill>
                  <pic:spPr>
                    <a:xfrm>
                      <a:off x="0" y="0"/>
                      <a:ext cx="4315427" cy="7840169"/>
                    </a:xfrm>
                    <a:prstGeom prst="rect">
                      <a:avLst/>
                    </a:prstGeom>
                  </pic:spPr>
                </pic:pic>
              </a:graphicData>
            </a:graphic>
          </wp:inline>
        </w:drawing>
      </w:r>
      <w:r w:rsidR="00F649C5" w:rsidRPr="00F649C5" w:rsidDel="00F649C5">
        <w:rPr>
          <w:rFonts w:ascii="ＭＳ ゴシック" w:eastAsia="ＭＳ ゴシック" w:hAnsi="ＭＳ ゴシック"/>
        </w:rPr>
        <w:t xml:space="preserve"> </w:t>
      </w:r>
    </w:p>
    <w:sectPr w:rsidR="00560AA0" w:rsidRPr="00560AA0" w:rsidSect="00FF45A2">
      <w:footerReference w:type="default" r:id="rId20"/>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2222C"/>
    <w:multiLevelType w:val="hybridMultilevel"/>
    <w:tmpl w:val="2F36ACE4"/>
    <w:lvl w:ilvl="0" w:tplc="23667EE6">
      <w:start w:val="1"/>
      <w:numFmt w:val="decimalEnclosedCircle"/>
      <w:lvlText w:val="%1"/>
      <w:lvlJc w:val="left"/>
      <w:pPr>
        <w:ind w:left="570" w:hanging="360"/>
      </w:pPr>
      <w:rPr>
        <w:rFonts w:ascii="ＭＳ ゴシック" w:eastAsia="ＭＳ ゴシック" w:hAnsi="ＭＳ ゴシック"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 w:numId="6" w16cid:durableId="207103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C7549"/>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D0F"/>
    <w:rsid w:val="00167E73"/>
    <w:rsid w:val="00173170"/>
    <w:rsid w:val="0017662E"/>
    <w:rsid w:val="00177FE0"/>
    <w:rsid w:val="001834B2"/>
    <w:rsid w:val="00191EED"/>
    <w:rsid w:val="00192D8B"/>
    <w:rsid w:val="001931F5"/>
    <w:rsid w:val="001954EF"/>
    <w:rsid w:val="001A0C6E"/>
    <w:rsid w:val="001A4395"/>
    <w:rsid w:val="001B5E1D"/>
    <w:rsid w:val="001C0155"/>
    <w:rsid w:val="001C6334"/>
    <w:rsid w:val="001D4785"/>
    <w:rsid w:val="001D7478"/>
    <w:rsid w:val="001E35A8"/>
    <w:rsid w:val="001E4189"/>
    <w:rsid w:val="001F251D"/>
    <w:rsid w:val="001F4D5C"/>
    <w:rsid w:val="001F51C5"/>
    <w:rsid w:val="00213CD5"/>
    <w:rsid w:val="00216F04"/>
    <w:rsid w:val="0021774F"/>
    <w:rsid w:val="00224B8E"/>
    <w:rsid w:val="00233A51"/>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005"/>
    <w:rsid w:val="002A2571"/>
    <w:rsid w:val="002A4222"/>
    <w:rsid w:val="002A7B02"/>
    <w:rsid w:val="002B2A6C"/>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83B96"/>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4B1B"/>
    <w:rsid w:val="004E6FA1"/>
    <w:rsid w:val="004F2C6E"/>
    <w:rsid w:val="00501BCA"/>
    <w:rsid w:val="00512CFF"/>
    <w:rsid w:val="005163F0"/>
    <w:rsid w:val="00520B62"/>
    <w:rsid w:val="00523734"/>
    <w:rsid w:val="00546E63"/>
    <w:rsid w:val="00557BE0"/>
    <w:rsid w:val="00560AA0"/>
    <w:rsid w:val="00562CBF"/>
    <w:rsid w:val="00577F7C"/>
    <w:rsid w:val="005812CA"/>
    <w:rsid w:val="005A0B8C"/>
    <w:rsid w:val="005A7156"/>
    <w:rsid w:val="005B24EF"/>
    <w:rsid w:val="005B6636"/>
    <w:rsid w:val="005C54B1"/>
    <w:rsid w:val="005D0F9F"/>
    <w:rsid w:val="005D4277"/>
    <w:rsid w:val="005E04E5"/>
    <w:rsid w:val="005E47DA"/>
    <w:rsid w:val="005E4BFE"/>
    <w:rsid w:val="005F4D23"/>
    <w:rsid w:val="00612EED"/>
    <w:rsid w:val="006131F9"/>
    <w:rsid w:val="00615B78"/>
    <w:rsid w:val="00616A62"/>
    <w:rsid w:val="006242E0"/>
    <w:rsid w:val="0062692F"/>
    <w:rsid w:val="006319AE"/>
    <w:rsid w:val="00633317"/>
    <w:rsid w:val="006360F8"/>
    <w:rsid w:val="006366F2"/>
    <w:rsid w:val="00650984"/>
    <w:rsid w:val="006571DB"/>
    <w:rsid w:val="0066110E"/>
    <w:rsid w:val="00677751"/>
    <w:rsid w:val="0068024A"/>
    <w:rsid w:val="006942EE"/>
    <w:rsid w:val="00696A17"/>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B35D7"/>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D4264"/>
    <w:rsid w:val="008E20A1"/>
    <w:rsid w:val="008F320E"/>
    <w:rsid w:val="009024AE"/>
    <w:rsid w:val="00912571"/>
    <w:rsid w:val="00915AB9"/>
    <w:rsid w:val="00933857"/>
    <w:rsid w:val="00937820"/>
    <w:rsid w:val="0094265C"/>
    <w:rsid w:val="00943528"/>
    <w:rsid w:val="00944EAE"/>
    <w:rsid w:val="00952F69"/>
    <w:rsid w:val="00953C48"/>
    <w:rsid w:val="0095468E"/>
    <w:rsid w:val="00954BC2"/>
    <w:rsid w:val="009655AF"/>
    <w:rsid w:val="00966D2B"/>
    <w:rsid w:val="009712B8"/>
    <w:rsid w:val="009731D2"/>
    <w:rsid w:val="00974606"/>
    <w:rsid w:val="00974850"/>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78F1"/>
    <w:rsid w:val="00B80057"/>
    <w:rsid w:val="00B804CE"/>
    <w:rsid w:val="00B91121"/>
    <w:rsid w:val="00B96BAF"/>
    <w:rsid w:val="00BB0040"/>
    <w:rsid w:val="00BD1F2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1287"/>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71F1C"/>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49C5"/>
    <w:rsid w:val="00F66935"/>
    <w:rsid w:val="00F80F70"/>
    <w:rsid w:val="00F824EA"/>
    <w:rsid w:val="00F87333"/>
    <w:rsid w:val="00F94731"/>
    <w:rsid w:val="00F95784"/>
    <w:rsid w:val="00F96DE0"/>
    <w:rsid w:val="00FA4D40"/>
    <w:rsid w:val="00FB08B5"/>
    <w:rsid w:val="00FB229B"/>
    <w:rsid w:val="00FC4962"/>
    <w:rsid w:val="00FC671A"/>
    <w:rsid w:val="00FC6C14"/>
    <w:rsid w:val="00FD20DA"/>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s2.jgrants-portal.go.jp/&#25805;&#20316;&#12510;&#12491;&#12517;&#12450;&#12523;_&#20107;&#26989;&#32773;&#29992;.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8C234354-7043-4475-B68E-E0D54B1E0113}">
  <ds:schemaRefs>
    <ds:schemaRef ds:uri="http://schemas.microsoft.com/sharepoint/v3/contenttype/forms"/>
  </ds:schemaRefs>
</ds:datastoreItem>
</file>

<file path=customXml/itemProps2.xml><?xml version="1.0" encoding="utf-8"?>
<ds:datastoreItem xmlns:ds="http://schemas.openxmlformats.org/officeDocument/2006/customXml" ds:itemID="{5199A964-7DAB-4607-90C5-712CF3EE2E41}"/>
</file>

<file path=customXml/itemProps3.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customXml/itemProps4.xml><?xml version="1.0" encoding="utf-8"?>
<ds:datastoreItem xmlns:ds="http://schemas.openxmlformats.org/officeDocument/2006/customXml" ds:itemID="{8C2FE6D5-75B5-428E-AE5F-587E66346403}">
  <ds:schemaRefs>
    <ds:schemaRef ds:uri="321e8871-1c24-4f8a-8f1d-b9016d52d4a3"/>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8ee52e10-ab1a-4c94-9d82-ab5dbf51332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3149</Words>
  <Characters>17953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資燃部政策課　金沢</dc:creator>
  <cp:keywords/>
  <cp:lastModifiedBy>Windows ユーザー</cp:lastModifiedBy>
  <cp:revision>8</cp:revision>
  <cp:lastPrinted>2025-03-19T01:17:00Z</cp:lastPrinted>
  <dcterms:created xsi:type="dcterms:W3CDTF">2025-03-18T08:38:00Z</dcterms:created>
  <dcterms:modified xsi:type="dcterms:W3CDTF">2025-04-28T01:11:00Z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